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3BDB6" w14:textId="12069C49" w:rsidR="001D1A53" w:rsidRDefault="001D1A53" w:rsidP="00770555">
      <w:pPr>
        <w:pStyle w:val="Caption"/>
        <w:tabs>
          <w:tab w:val="right" w:pos="9360"/>
        </w:tabs>
        <w:spacing w:after="0"/>
        <w:rPr>
          <w:szCs w:val="24"/>
        </w:rPr>
      </w:pPr>
      <w:r>
        <w:rPr>
          <w:szCs w:val="24"/>
        </w:rPr>
        <w:t>SOAH DOCKET NO. 473-24-13232</w:t>
      </w:r>
    </w:p>
    <w:p w14:paraId="31C445F0" w14:textId="31E8D36D" w:rsidR="00C1584B" w:rsidRDefault="00892FCA" w:rsidP="00770555">
      <w:pPr>
        <w:pStyle w:val="Caption"/>
        <w:tabs>
          <w:tab w:val="right" w:pos="9360"/>
        </w:tabs>
        <w:spacing w:after="0"/>
        <w:rPr>
          <w:szCs w:val="24"/>
        </w:rPr>
      </w:pPr>
      <w:r>
        <w:rPr>
          <w:szCs w:val="24"/>
        </w:rPr>
        <w:t>puC DOCKET NO. 56211</w:t>
      </w:r>
    </w:p>
    <w:p w14:paraId="0834BA0C" w14:textId="77777777" w:rsidR="00C1584B" w:rsidRPr="00C1584B" w:rsidRDefault="00C1584B" w:rsidP="0077055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50"/>
        <w:gridCol w:w="4230"/>
      </w:tblGrid>
      <w:tr w:rsidR="00652856" w14:paraId="1DF085FF" w14:textId="77777777" w:rsidTr="00C0481C">
        <w:tc>
          <w:tcPr>
            <w:tcW w:w="4680" w:type="dxa"/>
            <w:hideMark/>
          </w:tcPr>
          <w:p w14:paraId="51BBD6DD" w14:textId="77777777" w:rsidR="00C1584B" w:rsidRDefault="00892FCA" w:rsidP="00770555">
            <w:pPr>
              <w:spacing w:before="0" w:line="240" w:lineRule="auto"/>
              <w:jc w:val="left"/>
              <w:rPr>
                <w:b/>
              </w:rPr>
            </w:pPr>
            <w:r>
              <w:rPr>
                <w:b/>
              </w:rPr>
              <w:t xml:space="preserve">APPLICATION OF CENTERPOINT ENERGY HOUSTON ELECTRIC, LLC FOR AUTHORITY TO CHANGE RATES </w:t>
            </w:r>
          </w:p>
        </w:tc>
        <w:tc>
          <w:tcPr>
            <w:tcW w:w="450" w:type="dxa"/>
            <w:hideMark/>
          </w:tcPr>
          <w:p w14:paraId="2E2EAB7C" w14:textId="77777777" w:rsidR="00C1584B" w:rsidRDefault="00892FCA" w:rsidP="00770555">
            <w:pPr>
              <w:spacing w:before="0" w:line="240" w:lineRule="auto"/>
              <w:rPr>
                <w:b/>
              </w:rPr>
            </w:pPr>
            <w:r>
              <w:rPr>
                <w:b/>
              </w:rPr>
              <w:t>§</w:t>
            </w:r>
          </w:p>
          <w:p w14:paraId="4F758DA9" w14:textId="77777777" w:rsidR="00C1584B" w:rsidRDefault="00892FCA" w:rsidP="00770555">
            <w:pPr>
              <w:spacing w:before="0" w:line="240" w:lineRule="auto"/>
              <w:rPr>
                <w:b/>
              </w:rPr>
            </w:pPr>
            <w:r>
              <w:rPr>
                <w:b/>
              </w:rPr>
              <w:t>§</w:t>
            </w:r>
          </w:p>
          <w:p w14:paraId="6BC86F86" w14:textId="77777777" w:rsidR="00C1584B" w:rsidRDefault="00892FCA" w:rsidP="00770555">
            <w:pPr>
              <w:spacing w:before="0" w:line="240" w:lineRule="auto"/>
              <w:rPr>
                <w:b/>
              </w:rPr>
            </w:pPr>
            <w:r>
              <w:rPr>
                <w:b/>
              </w:rPr>
              <w:t>§</w:t>
            </w:r>
          </w:p>
        </w:tc>
        <w:tc>
          <w:tcPr>
            <w:tcW w:w="4230" w:type="dxa"/>
          </w:tcPr>
          <w:p w14:paraId="036B4D70" w14:textId="4E957B6F" w:rsidR="00C1584B" w:rsidRDefault="00892FCA" w:rsidP="00770555">
            <w:pPr>
              <w:spacing w:before="0" w:line="240" w:lineRule="auto"/>
              <w:jc w:val="center"/>
              <w:rPr>
                <w:b/>
              </w:rPr>
            </w:pPr>
            <w:r>
              <w:rPr>
                <w:b/>
              </w:rPr>
              <w:t>PUBLIC UTILITY COMMISSION</w:t>
            </w:r>
          </w:p>
          <w:p w14:paraId="46866893" w14:textId="77777777" w:rsidR="00C1584B" w:rsidRDefault="00892FCA" w:rsidP="00770555">
            <w:pPr>
              <w:spacing w:before="0" w:line="240" w:lineRule="auto"/>
              <w:jc w:val="center"/>
              <w:rPr>
                <w:b/>
              </w:rPr>
            </w:pPr>
            <w:r>
              <w:rPr>
                <w:b/>
              </w:rPr>
              <w:t xml:space="preserve">OF </w:t>
            </w:r>
          </w:p>
          <w:p w14:paraId="2D66B3A8" w14:textId="5625BFEB" w:rsidR="00C1584B" w:rsidRDefault="00892FCA" w:rsidP="00770555">
            <w:pPr>
              <w:spacing w:before="0" w:line="240" w:lineRule="auto"/>
              <w:jc w:val="center"/>
              <w:rPr>
                <w:b/>
              </w:rPr>
            </w:pPr>
            <w:r>
              <w:rPr>
                <w:b/>
              </w:rPr>
              <w:t>TEXAS</w:t>
            </w:r>
          </w:p>
          <w:p w14:paraId="58070F38" w14:textId="77777777" w:rsidR="00C1584B" w:rsidRDefault="00C1584B" w:rsidP="00770555">
            <w:pPr>
              <w:spacing w:before="0" w:line="240" w:lineRule="auto"/>
              <w:jc w:val="center"/>
              <w:rPr>
                <w:b/>
              </w:rPr>
            </w:pPr>
          </w:p>
          <w:p w14:paraId="21DFB35C" w14:textId="77777777" w:rsidR="00C1584B" w:rsidRDefault="00C1584B" w:rsidP="00770555">
            <w:pPr>
              <w:spacing w:before="0" w:line="240" w:lineRule="auto"/>
              <w:jc w:val="center"/>
              <w:rPr>
                <w:b/>
              </w:rPr>
            </w:pPr>
          </w:p>
        </w:tc>
      </w:tr>
    </w:tbl>
    <w:p w14:paraId="52D12815" w14:textId="3986E6E6" w:rsidR="007821C9" w:rsidRPr="00C0481C" w:rsidRDefault="00892FCA" w:rsidP="00770555">
      <w:pPr>
        <w:pStyle w:val="Heading1"/>
        <w:numPr>
          <w:ilvl w:val="0"/>
          <w:numId w:val="0"/>
        </w:numPr>
      </w:pPr>
      <w:r w:rsidRPr="00C0481C">
        <w:t>PROPOSED ORDER</w:t>
      </w:r>
    </w:p>
    <w:p w14:paraId="3CFB9D7F" w14:textId="003CC4F7" w:rsidR="007821C9" w:rsidRPr="00C1584B" w:rsidRDefault="00892FCA" w:rsidP="00770555">
      <w:r w:rsidRPr="00C1584B">
        <w:tab/>
        <w:t>This Order addresses the application of CenterPo</w:t>
      </w:r>
      <w:r w:rsidR="009C4E2C" w:rsidRPr="00C1584B">
        <w:t>i</w:t>
      </w:r>
      <w:r w:rsidRPr="00C1584B">
        <w:t>nt Energy Houston Electric, LLC (</w:t>
      </w:r>
      <w:r w:rsidR="00C1584B" w:rsidRPr="00C1584B">
        <w:t>“</w:t>
      </w:r>
      <w:r w:rsidRPr="00C1584B">
        <w:t>CenterPoint Houston</w:t>
      </w:r>
      <w:r w:rsidR="00C1584B" w:rsidRPr="00C1584B">
        <w:t>”</w:t>
      </w:r>
      <w:r w:rsidRPr="00C1584B">
        <w:t xml:space="preserve">) for authority to change its rates. </w:t>
      </w:r>
      <w:r w:rsidR="00444790">
        <w:t xml:space="preserve">On </w:t>
      </w:r>
      <w:r w:rsidR="005F001D">
        <w:t>January 28, 2025</w:t>
      </w:r>
      <w:r w:rsidR="00444790">
        <w:t xml:space="preserve">, </w:t>
      </w:r>
      <w:r w:rsidRPr="00C1584B">
        <w:t>CenterPoint Houston filed a</w:t>
      </w:r>
      <w:r w:rsidR="00444790">
        <w:t>n</w:t>
      </w:r>
      <w:r w:rsidRPr="00C1584B">
        <w:t xml:space="preserve"> </w:t>
      </w:r>
      <w:r w:rsidR="00444790">
        <w:t xml:space="preserve">unopposed </w:t>
      </w:r>
      <w:r w:rsidRPr="00C1584B">
        <w:t xml:space="preserve">settlement agreement </w:t>
      </w:r>
      <w:r w:rsidR="00444790">
        <w:t xml:space="preserve">between certain </w:t>
      </w:r>
      <w:r w:rsidR="000C0972" w:rsidRPr="00C1584B">
        <w:t xml:space="preserve">parties </w:t>
      </w:r>
      <w:r w:rsidR="00444790">
        <w:t>in this</w:t>
      </w:r>
      <w:r w:rsidR="000C0972" w:rsidRPr="00C1584B">
        <w:t xml:space="preserve"> proceeding</w:t>
      </w:r>
      <w:r w:rsidR="00444790">
        <w:t xml:space="preserve"> that, among other things, provides for a </w:t>
      </w:r>
      <w:r w:rsidR="002C0F38">
        <w:t>$</w:t>
      </w:r>
      <w:r w:rsidR="00FF5A39" w:rsidRPr="00FF5A39">
        <w:t>44,153,511.40</w:t>
      </w:r>
      <w:r w:rsidR="002C0F38">
        <w:t xml:space="preserve"> reduction to CenterPoint’s present wholesale and retail revenues of $2.305 billion, plus an additional explicit reduction to remove CEO compensation expense of $2,424,013, for a total reduction of </w:t>
      </w:r>
      <w:r w:rsidR="00A934D4">
        <w:t>$</w:t>
      </w:r>
      <w:r w:rsidR="43B59117" w:rsidRPr="00DE0F46">
        <w:t>46</w:t>
      </w:r>
      <w:r w:rsidR="43B59117">
        <w:t>,</w:t>
      </w:r>
      <w:r w:rsidR="00771DF7" w:rsidRPr="00771DF7">
        <w:t>577,524.</w:t>
      </w:r>
      <w:r w:rsidR="00771DF7" w:rsidRPr="00DE0F46">
        <w:t>40</w:t>
      </w:r>
      <w:r w:rsidR="000C0972" w:rsidRPr="00DE0F46">
        <w:t>.</w:t>
      </w:r>
      <w:r w:rsidR="000C0972" w:rsidRPr="00C1584B">
        <w:t xml:space="preserve"> </w:t>
      </w:r>
      <w:r w:rsidRPr="00C1584B">
        <w:t xml:space="preserve">The Commission approves </w:t>
      </w:r>
      <w:r w:rsidR="00BA4F7F">
        <w:t xml:space="preserve">the rates, terms, and conditions set forth in </w:t>
      </w:r>
      <w:r w:rsidRPr="00C1584B">
        <w:t>the settlement agreement to the extent provided in this Order</w:t>
      </w:r>
      <w:r w:rsidR="000C0972" w:rsidRPr="00C1584B">
        <w:t>.</w:t>
      </w:r>
    </w:p>
    <w:p w14:paraId="1BD5F23F" w14:textId="77777777" w:rsidR="007821C9" w:rsidRPr="00C1584B" w:rsidRDefault="00892FCA" w:rsidP="00770555">
      <w:r w:rsidRPr="00C1584B">
        <w:tab/>
        <w:t>The Commission adopts the following findings of fact and conclusions of law:</w:t>
      </w:r>
    </w:p>
    <w:p w14:paraId="79BB1DF2" w14:textId="5BC6EBEC" w:rsidR="007821C9" w:rsidRPr="00C1584B" w:rsidRDefault="00892FCA" w:rsidP="00770555">
      <w:pPr>
        <w:pStyle w:val="Heading1"/>
      </w:pPr>
      <w:r w:rsidRPr="00C1584B">
        <w:t>FINDINGS OF FACT</w:t>
      </w:r>
    </w:p>
    <w:p w14:paraId="1A78BC8F" w14:textId="77777777" w:rsidR="008B0E13" w:rsidRPr="001F7699" w:rsidRDefault="00892FCA" w:rsidP="00770555">
      <w:pPr>
        <w:pStyle w:val="Heading2"/>
      </w:pPr>
      <w:r w:rsidRPr="001F7699">
        <w:t>Applicant</w:t>
      </w:r>
    </w:p>
    <w:p w14:paraId="75EF4C98" w14:textId="61629B48" w:rsidR="00172973" w:rsidRDefault="00892FCA" w:rsidP="00176F8E">
      <w:pPr>
        <w:pStyle w:val="OrderingParagraph"/>
        <w:tabs>
          <w:tab w:val="clear" w:pos="720"/>
        </w:tabs>
      </w:pPr>
      <w:r>
        <w:t>CenterPoint Houston is a Texas limited liability company registered with the Texas secretary of state under filing 800119842.</w:t>
      </w:r>
    </w:p>
    <w:p w14:paraId="5FD239CF" w14:textId="354D634F" w:rsidR="00DD275B" w:rsidRPr="003D27D1" w:rsidRDefault="00892FCA" w:rsidP="00176F8E">
      <w:pPr>
        <w:pStyle w:val="OrderingParagraph"/>
        <w:tabs>
          <w:tab w:val="clear" w:pos="720"/>
        </w:tabs>
      </w:pPr>
      <w:r w:rsidRPr="003D27D1">
        <w:t xml:space="preserve">CenterPoint Houston is a </w:t>
      </w:r>
      <w:r w:rsidR="00172973">
        <w:t xml:space="preserve">wholly-owned </w:t>
      </w:r>
      <w:r w:rsidRPr="003D27D1">
        <w:t>subsidiary of CenterPoint Energy, Inc.</w:t>
      </w:r>
    </w:p>
    <w:p w14:paraId="4D566741" w14:textId="54387A54" w:rsidR="00172973" w:rsidRPr="001F7699" w:rsidRDefault="00892FCA" w:rsidP="00176F8E">
      <w:pPr>
        <w:pStyle w:val="OrderingParagraph"/>
        <w:tabs>
          <w:tab w:val="clear" w:pos="720"/>
        </w:tabs>
      </w:pPr>
      <w:r w:rsidRPr="001F7699">
        <w:t xml:space="preserve">CenterPoint Houston </w:t>
      </w:r>
      <w:r>
        <w:t>owns and operates for compensation in Texas facilities and equipment to transmit and distribute electricity in</w:t>
      </w:r>
      <w:r w:rsidRPr="001F7699">
        <w:t xml:space="preserve"> the Electric Reliability Council of Texas (“ERCOT”) </w:t>
      </w:r>
      <w:r>
        <w:t>region</w:t>
      </w:r>
      <w:r w:rsidRPr="001F7699">
        <w:t xml:space="preserve">. </w:t>
      </w:r>
    </w:p>
    <w:p w14:paraId="539A0462" w14:textId="509241C3" w:rsidR="00172973" w:rsidRDefault="00892FCA" w:rsidP="00176F8E">
      <w:pPr>
        <w:pStyle w:val="OrderingParagraph"/>
        <w:tabs>
          <w:tab w:val="clear" w:pos="720"/>
        </w:tabs>
      </w:pPr>
      <w:r>
        <w:t>CenterPoint Houston holds certificate of convenience and necessity number 30086 to provide service to the public.</w:t>
      </w:r>
    </w:p>
    <w:p w14:paraId="362E4428" w14:textId="776AB476" w:rsidR="008B0E13" w:rsidRPr="003D27D1" w:rsidRDefault="00892FCA" w:rsidP="00176F8E">
      <w:pPr>
        <w:pStyle w:val="OrderingParagraph"/>
        <w:tabs>
          <w:tab w:val="clear" w:pos="720"/>
        </w:tabs>
      </w:pPr>
      <w:r w:rsidRPr="003D27D1">
        <w:t>CenterPoint Houston serves approximately 2.</w:t>
      </w:r>
      <w:r w:rsidR="00CD3F96">
        <w:t>8</w:t>
      </w:r>
      <w:r w:rsidRPr="003D27D1">
        <w:t xml:space="preserve"> million metered customers.</w:t>
      </w:r>
    </w:p>
    <w:p w14:paraId="525B49AC" w14:textId="1EEBF71E" w:rsidR="00DD275B" w:rsidRPr="003D27D1" w:rsidRDefault="00892FCA" w:rsidP="00176F8E">
      <w:pPr>
        <w:pStyle w:val="OrderingParagraph"/>
        <w:tabs>
          <w:tab w:val="clear" w:pos="720"/>
        </w:tabs>
      </w:pPr>
      <w:r w:rsidRPr="003D27D1">
        <w:lastRenderedPageBreak/>
        <w:t xml:space="preserve">CenterPoint Houston’s electric system covers approximately 5,000 square miles located in and around Houston, Texas and is comprised of approximately </w:t>
      </w:r>
      <w:r w:rsidR="00262431">
        <w:t>58</w:t>
      </w:r>
      <w:r w:rsidRPr="003D27D1">
        <w:t>,000 miles of overhead and underground transmission and distribution lines</w:t>
      </w:r>
      <w:r w:rsidR="00262431">
        <w:t xml:space="preserve"> and street lights</w:t>
      </w:r>
      <w:r w:rsidRPr="003D27D1">
        <w:t>.</w:t>
      </w:r>
    </w:p>
    <w:p w14:paraId="4553BB0A" w14:textId="7EE31C84" w:rsidR="00DD275B" w:rsidRPr="003D27D1" w:rsidRDefault="00892FCA" w:rsidP="00176F8E">
      <w:pPr>
        <w:pStyle w:val="OrderingParagraph"/>
        <w:tabs>
          <w:tab w:val="clear" w:pos="720"/>
        </w:tabs>
      </w:pPr>
      <w:r w:rsidRPr="003D27D1">
        <w:t xml:space="preserve">CenterPoint Houston’s last </w:t>
      </w:r>
      <w:r w:rsidR="18C9D70B" w:rsidRPr="003D27D1">
        <w:t xml:space="preserve">comprehensive base </w:t>
      </w:r>
      <w:r w:rsidRPr="003D27D1">
        <w:t xml:space="preserve">rate </w:t>
      </w:r>
      <w:r w:rsidR="38DE49F7">
        <w:t>proceeding</w:t>
      </w:r>
      <w:r w:rsidRPr="003D27D1">
        <w:t xml:space="preserve"> was </w:t>
      </w:r>
      <w:r w:rsidR="00262431">
        <w:t>Docket No. 49421.</w:t>
      </w:r>
      <w:r>
        <w:rPr>
          <w:rStyle w:val="FootnoteReference"/>
        </w:rPr>
        <w:footnoteReference w:id="2"/>
      </w:r>
    </w:p>
    <w:p w14:paraId="2B31CE32" w14:textId="77777777" w:rsidR="003978F1" w:rsidRPr="003D27D1" w:rsidRDefault="00892FCA" w:rsidP="00770555">
      <w:pPr>
        <w:pStyle w:val="Heading2"/>
      </w:pPr>
      <w:r w:rsidRPr="003D27D1">
        <w:t>Application</w:t>
      </w:r>
    </w:p>
    <w:p w14:paraId="38788B29" w14:textId="67774FFC" w:rsidR="00DD275B" w:rsidRPr="003D27D1" w:rsidRDefault="00892FCA" w:rsidP="00176F8E">
      <w:pPr>
        <w:pStyle w:val="OrderingParagraph"/>
        <w:tabs>
          <w:tab w:val="clear" w:pos="720"/>
        </w:tabs>
      </w:pPr>
      <w:r w:rsidRPr="003D27D1">
        <w:t xml:space="preserve">On </w:t>
      </w:r>
      <w:r w:rsidR="00B8471E">
        <w:t>March 6, 2024</w:t>
      </w:r>
      <w:r w:rsidRPr="003D27D1">
        <w:t xml:space="preserve">, CenterPoint Houston filed an application and statement of intent to change retail transmission and distribution rates and wholesale transmission rates with an effective date of </w:t>
      </w:r>
      <w:r w:rsidR="00A062E4">
        <w:t>April 10, 2024</w:t>
      </w:r>
      <w:r w:rsidRPr="003D27D1">
        <w:t>.</w:t>
      </w:r>
    </w:p>
    <w:p w14:paraId="49C8AC58" w14:textId="6822C46A" w:rsidR="00DD275B" w:rsidRPr="003D27D1" w:rsidRDefault="00892FCA" w:rsidP="00176F8E">
      <w:pPr>
        <w:pStyle w:val="OrderingParagraph"/>
        <w:tabs>
          <w:tab w:val="clear" w:pos="720"/>
        </w:tabs>
      </w:pPr>
      <w:r w:rsidRPr="003D27D1">
        <w:t xml:space="preserve">The applicable test year was </w:t>
      </w:r>
      <w:r w:rsidR="004C1C23">
        <w:t>the</w:t>
      </w:r>
      <w:r w:rsidR="00A062E4">
        <w:t xml:space="preserve"> 12-month period ending December 31, 2023</w:t>
      </w:r>
      <w:r w:rsidRPr="003D27D1">
        <w:t>.</w:t>
      </w:r>
    </w:p>
    <w:p w14:paraId="1BFD276B" w14:textId="3F9D7A9A" w:rsidR="002434BC" w:rsidRPr="003D27D1" w:rsidRDefault="00795388" w:rsidP="00176F8E">
      <w:pPr>
        <w:pStyle w:val="OrderingParagraph"/>
        <w:tabs>
          <w:tab w:val="clear" w:pos="720"/>
        </w:tabs>
      </w:pPr>
      <w:r>
        <w:t>Through its application and subsequent errat</w:t>
      </w:r>
      <w:r w:rsidR="00AB4C5F">
        <w:t xml:space="preserve">a, </w:t>
      </w:r>
      <w:r w:rsidR="00892FCA">
        <w:t xml:space="preserve">CenterPoint Houston sought Commission approval to increase transmission and distribution revenues by approximately </w:t>
      </w:r>
      <w:r w:rsidR="00892FCA" w:rsidRPr="00035A8E">
        <w:t>$</w:t>
      </w:r>
      <w:r w:rsidR="76BE41F4" w:rsidRPr="00035A8E">
        <w:t>57</w:t>
      </w:r>
      <w:r w:rsidR="00892FCA" w:rsidRPr="00035A8E">
        <w:t xml:space="preserve"> million</w:t>
      </w:r>
      <w:r w:rsidR="00262431">
        <w:t>,</w:t>
      </w:r>
      <w:r w:rsidR="00C25845">
        <w:t xml:space="preserve"> consisting of approximately </w:t>
      </w:r>
      <w:r w:rsidR="00C25845" w:rsidRPr="00035A8E">
        <w:t>$</w:t>
      </w:r>
      <w:r w:rsidR="38C7A68F" w:rsidRPr="00035A8E">
        <w:t>15</w:t>
      </w:r>
      <w:r w:rsidR="00C25845" w:rsidRPr="00035A8E">
        <w:t xml:space="preserve"> </w:t>
      </w:r>
      <w:r w:rsidR="00CE38C2" w:rsidRPr="00035A8E">
        <w:t>million</w:t>
      </w:r>
      <w:r w:rsidR="00CE38C2">
        <w:t xml:space="preserve"> </w:t>
      </w:r>
      <w:r w:rsidR="00C25845">
        <w:t>related to service to retail customers,</w:t>
      </w:r>
      <w:r w:rsidR="003D6A47">
        <w:t xml:space="preserve"> excluding TCRF and rate case expenses</w:t>
      </w:r>
      <w:r w:rsidR="00C25845">
        <w:t xml:space="preserve">, and </w:t>
      </w:r>
      <w:r w:rsidR="00892FCA">
        <w:t xml:space="preserve">approximately </w:t>
      </w:r>
      <w:r w:rsidR="00892FCA" w:rsidRPr="00035A8E">
        <w:t>$</w:t>
      </w:r>
      <w:r w:rsidR="363A2859" w:rsidRPr="00035A8E">
        <w:t>42</w:t>
      </w:r>
      <w:r w:rsidR="00892FCA" w:rsidRPr="00035A8E">
        <w:t xml:space="preserve"> million</w:t>
      </w:r>
      <w:r w:rsidR="00892FCA">
        <w:t xml:space="preserve"> for wholesale transmission service.</w:t>
      </w:r>
    </w:p>
    <w:p w14:paraId="29A90D44" w14:textId="6C30F732" w:rsidR="00C25845" w:rsidRDefault="00892FCA" w:rsidP="007760F2">
      <w:pPr>
        <w:pStyle w:val="OrderingParagraph"/>
        <w:tabs>
          <w:tab w:val="clear" w:pos="720"/>
        </w:tabs>
      </w:pPr>
      <w:r w:rsidRPr="003D27D1">
        <w:t xml:space="preserve">In addition to the rate increase, CenterPoint Houston requested </w:t>
      </w:r>
      <w:r>
        <w:t>the Commission:</w:t>
      </w:r>
    </w:p>
    <w:p w14:paraId="4A32723B" w14:textId="2D88201E" w:rsidR="00DD275B" w:rsidRDefault="00892FCA" w:rsidP="00634DF5">
      <w:pPr>
        <w:pStyle w:val="OrderingParagraph"/>
        <w:numPr>
          <w:ilvl w:val="0"/>
          <w:numId w:val="44"/>
        </w:numPr>
      </w:pPr>
      <w:r>
        <w:t>find that CenterPoint Houston’s capital additions placed into service from</w:t>
      </w:r>
      <w:r w:rsidR="005D1162" w:rsidRPr="003D27D1">
        <w:t xml:space="preserve"> January 1, </w:t>
      </w:r>
      <w:r w:rsidR="003D6A47">
        <w:t>2019</w:t>
      </w:r>
      <w:r w:rsidR="005D1162" w:rsidRPr="003D27D1">
        <w:t xml:space="preserve"> and December 31, 20</w:t>
      </w:r>
      <w:r w:rsidR="003D6A47">
        <w:t>23</w:t>
      </w:r>
      <w:r>
        <w:t>, were prudent;</w:t>
      </w:r>
    </w:p>
    <w:p w14:paraId="53DC881D" w14:textId="2EF0CEB1" w:rsidR="00C25845" w:rsidRDefault="00892FCA" w:rsidP="00634DF5">
      <w:pPr>
        <w:pStyle w:val="OrderingParagraph"/>
        <w:numPr>
          <w:ilvl w:val="0"/>
          <w:numId w:val="44"/>
        </w:numPr>
      </w:pPr>
      <w:r>
        <w:t>approve its proposed capital structure and return on equity;</w:t>
      </w:r>
    </w:p>
    <w:p w14:paraId="3C636190" w14:textId="10431B9D" w:rsidR="00C25845" w:rsidRDefault="00892FCA" w:rsidP="00634DF5">
      <w:pPr>
        <w:pStyle w:val="OrderingParagraph"/>
        <w:numPr>
          <w:ilvl w:val="0"/>
          <w:numId w:val="44"/>
        </w:numPr>
      </w:pPr>
      <w:r>
        <w:t>approve its proposed cost allocation methodology and rate design;</w:t>
      </w:r>
    </w:p>
    <w:p w14:paraId="301460C4" w14:textId="58F8CADF" w:rsidR="00C25845" w:rsidRDefault="00892FCA" w:rsidP="00634DF5">
      <w:pPr>
        <w:pStyle w:val="OrderingParagraph"/>
        <w:numPr>
          <w:ilvl w:val="0"/>
          <w:numId w:val="44"/>
        </w:numPr>
      </w:pPr>
      <w:r>
        <w:t>approve its proposed updates or removal of Rider TCRF, Rider DCRF, Rider RCE, Schedule TC2, Schedule TC, Rider SRC, and Rider ADFITC;</w:t>
      </w:r>
    </w:p>
    <w:p w14:paraId="1327F269" w14:textId="232B2D37" w:rsidR="00952682" w:rsidRDefault="00892FCA" w:rsidP="00634DF5">
      <w:pPr>
        <w:pStyle w:val="OrderingParagraph"/>
        <w:numPr>
          <w:ilvl w:val="0"/>
          <w:numId w:val="44"/>
        </w:numPr>
      </w:pPr>
      <w:r>
        <w:t>approve its proposed Rider IRA</w:t>
      </w:r>
      <w:r w:rsidR="00F21385">
        <w:t>s</w:t>
      </w:r>
      <w:r>
        <w:t>;</w:t>
      </w:r>
    </w:p>
    <w:p w14:paraId="4CC4BBD8" w14:textId="5A44E88D" w:rsidR="00952682" w:rsidRDefault="00892FCA" w:rsidP="00634DF5">
      <w:pPr>
        <w:pStyle w:val="OrderingParagraph"/>
        <w:numPr>
          <w:ilvl w:val="0"/>
          <w:numId w:val="44"/>
        </w:numPr>
      </w:pPr>
      <w:r>
        <w:lastRenderedPageBreak/>
        <w:t>approve its proposed charges to its Tariff for Wholesale Delivery Service;</w:t>
      </w:r>
    </w:p>
    <w:p w14:paraId="341ECF91" w14:textId="0E76B2C8" w:rsidR="00952682" w:rsidRDefault="00892FCA" w:rsidP="00634DF5">
      <w:pPr>
        <w:pStyle w:val="OrderingParagraph"/>
        <w:numPr>
          <w:ilvl w:val="0"/>
          <w:numId w:val="44"/>
        </w:numPr>
      </w:pPr>
      <w:r>
        <w:t>approve its proposed deprecation rates</w:t>
      </w:r>
      <w:r w:rsidR="00A3647B">
        <w:t>;</w:t>
      </w:r>
    </w:p>
    <w:p w14:paraId="3744A996" w14:textId="3093C15E" w:rsidR="00A3647B" w:rsidRDefault="00892FCA" w:rsidP="00634DF5">
      <w:pPr>
        <w:pStyle w:val="OrderingParagraph"/>
        <w:numPr>
          <w:ilvl w:val="0"/>
          <w:numId w:val="44"/>
        </w:numPr>
      </w:pPr>
      <w:r>
        <w:t>approve an update to its annual self-insurance reserve accrual; and</w:t>
      </w:r>
    </w:p>
    <w:p w14:paraId="6421C9FA" w14:textId="298764D3" w:rsidR="00A3647B" w:rsidRPr="003D27D1" w:rsidRDefault="00892FCA" w:rsidP="00634DF5">
      <w:pPr>
        <w:pStyle w:val="OrderingParagraph"/>
        <w:numPr>
          <w:ilvl w:val="0"/>
          <w:numId w:val="44"/>
        </w:numPr>
      </w:pPr>
      <w:r>
        <w:t>find that its rate case expenses incurred in this proceeding and in Docket Nos. 53442, 54825, and 54830 were reasonable and necessary and authorize their recovery through Rider RCE.</w:t>
      </w:r>
    </w:p>
    <w:p w14:paraId="7D735AE1" w14:textId="771B6204" w:rsidR="00A3647B" w:rsidRDefault="00892FCA" w:rsidP="007760F2">
      <w:pPr>
        <w:pStyle w:val="OrderingParagraph"/>
        <w:tabs>
          <w:tab w:val="clear" w:pos="720"/>
        </w:tabs>
      </w:pPr>
      <w:r>
        <w:t>Concurrent with filing its application with the Commission, CenterPoint Houston filed applications and statements of intent with each municipality in its service area that has original jurisdiction over its rates.</w:t>
      </w:r>
    </w:p>
    <w:p w14:paraId="3D5639B1" w14:textId="63F78FAA" w:rsidR="00280CF3" w:rsidRDefault="00892FCA" w:rsidP="007760F2">
      <w:pPr>
        <w:pStyle w:val="OrderingParagraph"/>
        <w:tabs>
          <w:tab w:val="clear" w:pos="720"/>
        </w:tabs>
      </w:pPr>
      <w:r>
        <w:t xml:space="preserve">CenterPoint Houston’s application affects all retail electric providers (“REPs”) serving end-use retail electric customers in its certificated service territory and all customers taking service under CenterPoint Houston’s wholesale </w:t>
      </w:r>
      <w:r w:rsidR="00E5140A">
        <w:t xml:space="preserve">delivery </w:t>
      </w:r>
      <w:r>
        <w:t>service tariff.</w:t>
      </w:r>
    </w:p>
    <w:p w14:paraId="2FF01691" w14:textId="1D2155E0" w:rsidR="00280CF3" w:rsidRDefault="00892FCA" w:rsidP="007760F2">
      <w:pPr>
        <w:pStyle w:val="OrderingParagraph"/>
        <w:tabs>
          <w:tab w:val="clear" w:pos="720"/>
        </w:tabs>
      </w:pPr>
      <w:r>
        <w:t>CenterPoint Houston’s application and rate filing package was prepared in accordance with the requirements of the Commission including, but not limited to, 16 Texas Administrative Code (</w:t>
      </w:r>
      <w:r w:rsidR="00361D84">
        <w:t>“</w:t>
      </w:r>
      <w:r>
        <w:t>TAC</w:t>
      </w:r>
      <w:r w:rsidR="00361D84">
        <w:t>”</w:t>
      </w:r>
      <w:r>
        <w:t>) § 25.231, Cost of Service and in accordance with the Transmission &amp; Distribution Investor Owned Utilities Rate Filing Package for Cost-of</w:t>
      </w:r>
      <w:r w:rsidR="004C5E04">
        <w:t>-</w:t>
      </w:r>
      <w:r>
        <w:t>Service Determination (</w:t>
      </w:r>
      <w:r w:rsidR="00361D84">
        <w:t>“</w:t>
      </w:r>
      <w:r>
        <w:t>RFP</w:t>
      </w:r>
      <w:r w:rsidR="00361D84">
        <w:t>”</w:t>
      </w:r>
      <w:r>
        <w:t>).</w:t>
      </w:r>
    </w:p>
    <w:p w14:paraId="289E754B" w14:textId="3A2F3DE1" w:rsidR="00280CF3" w:rsidRDefault="00892FCA" w:rsidP="007760F2">
      <w:pPr>
        <w:pStyle w:val="OrderingParagraph"/>
        <w:tabs>
          <w:tab w:val="clear" w:pos="720"/>
        </w:tabs>
      </w:pPr>
      <w:r>
        <w:t>The information provided in the RFP is taken from the Company’s accounts and records as prescribed in the Federal Energy Regulatory Commission (</w:t>
      </w:r>
      <w:r w:rsidR="00287E84">
        <w:t>“</w:t>
      </w:r>
      <w:r>
        <w:t>FERC</w:t>
      </w:r>
      <w:r w:rsidR="00287E84">
        <w:t>”</w:t>
      </w:r>
      <w:r>
        <w:t>) Electric Uniform System of Accounts (</w:t>
      </w:r>
      <w:r w:rsidR="00287E84">
        <w:t>“</w:t>
      </w:r>
      <w:r>
        <w:t>USOA</w:t>
      </w:r>
      <w:r w:rsidR="00287E84">
        <w:t>”</w:t>
      </w:r>
      <w:r>
        <w:t>) as required by 16 TAC § 25.72.</w:t>
      </w:r>
    </w:p>
    <w:p w14:paraId="6206960F" w14:textId="743CF401" w:rsidR="00280CF3" w:rsidRDefault="00892FCA" w:rsidP="007760F2">
      <w:pPr>
        <w:pStyle w:val="OrderingParagraph"/>
        <w:tabs>
          <w:tab w:val="clear" w:pos="720"/>
        </w:tabs>
      </w:pPr>
      <w:r>
        <w:t>The workpapers have been appropriately designated, supported and positioned in accordance with RFP General Instruction No. 12, notes a, b, and c.</w:t>
      </w:r>
    </w:p>
    <w:p w14:paraId="31B7B928" w14:textId="03A0FF7F" w:rsidR="00280CF3" w:rsidRDefault="00892FCA" w:rsidP="007760F2">
      <w:pPr>
        <w:pStyle w:val="OrderingParagraph"/>
        <w:tabs>
          <w:tab w:val="clear" w:pos="720"/>
        </w:tabs>
      </w:pPr>
      <w:r>
        <w:t xml:space="preserve">The information provided in the RFP is based on </w:t>
      </w:r>
      <w:r w:rsidR="0025080D">
        <w:t xml:space="preserve">the </w:t>
      </w:r>
      <w:r>
        <w:t>historical 12-month test year ending December 31, 2023.</w:t>
      </w:r>
    </w:p>
    <w:p w14:paraId="7034EE8D" w14:textId="55289AD0" w:rsidR="00280CF3" w:rsidRDefault="00892FCA" w:rsidP="007760F2">
      <w:pPr>
        <w:pStyle w:val="OrderingParagraph"/>
        <w:tabs>
          <w:tab w:val="clear" w:pos="720"/>
        </w:tabs>
      </w:pPr>
      <w:r>
        <w:t>The books, accounts and records of CenterPoint Houston are maintained in accordance with generally accepted accounting principles (</w:t>
      </w:r>
      <w:r w:rsidR="00361D84">
        <w:t>“</w:t>
      </w:r>
      <w:r>
        <w:t>GAAP</w:t>
      </w:r>
      <w:r w:rsidR="00361D84">
        <w:t>”</w:t>
      </w:r>
      <w:r>
        <w:t xml:space="preserve">), follow the FERC USOA as required by Commission rules, and are maintained under normal business practices. </w:t>
      </w:r>
      <w:r>
        <w:lastRenderedPageBreak/>
        <w:t>The business records were made available to all parties and the summaries thereof submitted as part of the application filed in this case were accurate.</w:t>
      </w:r>
    </w:p>
    <w:p w14:paraId="65A892DA" w14:textId="74C527AE" w:rsidR="00BA22E0" w:rsidRPr="003D27D1" w:rsidRDefault="00892FCA" w:rsidP="007760F2">
      <w:pPr>
        <w:pStyle w:val="OrderingParagraph"/>
        <w:tabs>
          <w:tab w:val="clear" w:pos="720"/>
        </w:tabs>
      </w:pPr>
      <w:r w:rsidRPr="003D27D1">
        <w:t xml:space="preserve">No party </w:t>
      </w:r>
      <w:r w:rsidR="00A3647B">
        <w:t>challenged the adequacy and completeness of CenterPoint Houston’s</w:t>
      </w:r>
      <w:r w:rsidRPr="003D27D1">
        <w:t xml:space="preserve"> application</w:t>
      </w:r>
      <w:r w:rsidR="007244BC" w:rsidRPr="003D27D1">
        <w:t>.</w:t>
      </w:r>
    </w:p>
    <w:p w14:paraId="49D56526" w14:textId="4DE2E87A" w:rsidR="00A3647B" w:rsidRDefault="00892FCA" w:rsidP="007760F2">
      <w:pPr>
        <w:pStyle w:val="OrderingParagraph"/>
        <w:tabs>
          <w:tab w:val="clear" w:pos="720"/>
        </w:tabs>
      </w:pPr>
      <w:r>
        <w:t>In State Office of Administrative Hearings (“SOAH”) Order No. 3 filed on April 2, 2024, the SOAH administrative law judges (</w:t>
      </w:r>
      <w:r w:rsidR="00361D84">
        <w:t>“</w:t>
      </w:r>
      <w:r>
        <w:t>ALJs</w:t>
      </w:r>
      <w:r w:rsidR="00361D84">
        <w:t>”</w:t>
      </w:r>
      <w:r>
        <w:t>) found the application sufficient for further review</w:t>
      </w:r>
      <w:r w:rsidR="00C0481C">
        <w:t>.</w:t>
      </w:r>
    </w:p>
    <w:p w14:paraId="5E8E5D1A" w14:textId="78DD1328" w:rsidR="007A37E9" w:rsidRPr="003D27D1" w:rsidRDefault="00892FCA" w:rsidP="007760F2">
      <w:pPr>
        <w:pStyle w:val="OrderingParagraph"/>
        <w:tabs>
          <w:tab w:val="clear" w:pos="720"/>
        </w:tabs>
      </w:pPr>
      <w:r w:rsidRPr="003D27D1">
        <w:t>CenterPoint Houston complied with the form and instructions for the Commission’s rate-filing package</w:t>
      </w:r>
      <w:r w:rsidR="00653D1E">
        <w:t>,</w:t>
      </w:r>
      <w:r w:rsidRPr="003D27D1">
        <w:t xml:space="preserve"> and the application was administratively complete.</w:t>
      </w:r>
    </w:p>
    <w:p w14:paraId="1A527D57" w14:textId="2343D85E" w:rsidR="007A37E9" w:rsidRPr="003D27D1" w:rsidRDefault="00892FCA" w:rsidP="007A37E9">
      <w:pPr>
        <w:pStyle w:val="Heading2"/>
      </w:pPr>
      <w:r>
        <w:t>Effective Date of Proposed Rates</w:t>
      </w:r>
    </w:p>
    <w:p w14:paraId="3E5DB79B" w14:textId="6AB98551" w:rsidR="007A37E9" w:rsidRDefault="00892FCA" w:rsidP="007760F2">
      <w:pPr>
        <w:pStyle w:val="OrderingParagraph"/>
        <w:tabs>
          <w:tab w:val="clear" w:pos="720"/>
        </w:tabs>
      </w:pPr>
      <w:r>
        <w:t>In the application, CenterPoint Houston proposed an effective date of April 10, 2024.</w:t>
      </w:r>
    </w:p>
    <w:p w14:paraId="0C3900AF" w14:textId="64EC6110" w:rsidR="007A37E9" w:rsidRDefault="00892FCA" w:rsidP="007760F2">
      <w:pPr>
        <w:pStyle w:val="OrderingParagraph"/>
        <w:tabs>
          <w:tab w:val="clear" w:pos="720"/>
        </w:tabs>
      </w:pPr>
      <w:r>
        <w:t>In SOAH Order No. 1 filed March 7, 2024, the SOAH ALJs set the effective date for CenterPoint Houston’s rate change to September 9, 2024.</w:t>
      </w:r>
    </w:p>
    <w:p w14:paraId="71F63545" w14:textId="147457BE" w:rsidR="007A37E9" w:rsidRDefault="00892FCA" w:rsidP="007760F2">
      <w:pPr>
        <w:pStyle w:val="OrderingParagraph"/>
        <w:tabs>
          <w:tab w:val="clear" w:pos="720"/>
        </w:tabs>
      </w:pPr>
      <w:r>
        <w:t>In SOAH Order No. 2 filed March 27, 2024, the SOAH ALJs issued a procedural schedule that revised the effective date for CenterPoint Houston’s rate change to December 20, 2024.</w:t>
      </w:r>
    </w:p>
    <w:p w14:paraId="0A4AB3E3" w14:textId="32E096DA" w:rsidR="007A37E9" w:rsidRDefault="00892FCA" w:rsidP="007760F2">
      <w:pPr>
        <w:pStyle w:val="OrderingParagraph"/>
        <w:tabs>
          <w:tab w:val="clear" w:pos="720"/>
        </w:tabs>
      </w:pPr>
      <w:r>
        <w:t>In a letter to SOAH filed on December 20, 2024, CenterPoint Houston notified SOAH and the parties that it was extending the effective date to January 31, 202</w:t>
      </w:r>
      <w:r w:rsidR="00D20DB8">
        <w:t>5</w:t>
      </w:r>
      <w:r>
        <w:t xml:space="preserve">. </w:t>
      </w:r>
    </w:p>
    <w:p w14:paraId="4D7196E6" w14:textId="77777777" w:rsidR="00293064" w:rsidRDefault="00892FCA" w:rsidP="00CE6F32">
      <w:pPr>
        <w:pStyle w:val="Heading2"/>
      </w:pPr>
      <w:r>
        <w:t xml:space="preserve">Notice </w:t>
      </w:r>
    </w:p>
    <w:p w14:paraId="47DF269D" w14:textId="54C3D6E3" w:rsidR="006B6283" w:rsidRDefault="00892FCA" w:rsidP="007760F2">
      <w:pPr>
        <w:pStyle w:val="OrderingParagraph"/>
        <w:tabs>
          <w:tab w:val="clear" w:pos="720"/>
        </w:tabs>
      </w:pPr>
      <w:r>
        <w:t>On March 9, 2024, CenterPoint Houston provided a copy of its application to</w:t>
      </w:r>
      <w:r w:rsidR="007D745D">
        <w:t>: (</w:t>
      </w:r>
      <w:r>
        <w:t>a) each of the entities listed in the Commission’s transmission matrix in Docket No. 56050;</w:t>
      </w:r>
      <w:r>
        <w:rPr>
          <w:rStyle w:val="FootnoteReference"/>
        </w:rPr>
        <w:footnoteReference w:id="3"/>
      </w:r>
      <w:r>
        <w:t xml:space="preserve"> and (b) each REP listed on the Commission’s website.</w:t>
      </w:r>
    </w:p>
    <w:p w14:paraId="19B6D457" w14:textId="5441E312" w:rsidR="00293064" w:rsidRDefault="00892FCA" w:rsidP="007760F2">
      <w:pPr>
        <w:pStyle w:val="OrderingParagraph"/>
        <w:tabs>
          <w:tab w:val="clear" w:pos="720"/>
        </w:tabs>
      </w:pPr>
      <w:r>
        <w:lastRenderedPageBreak/>
        <w:t xml:space="preserve">CenterPoint Houston also </w:t>
      </w:r>
      <w:r w:rsidR="00C0481C">
        <w:t>provide</w:t>
      </w:r>
      <w:r w:rsidR="1E93945E">
        <w:t>d</w:t>
      </w:r>
      <w:r w:rsidR="00C0481C">
        <w:t xml:space="preserve"> a</w:t>
      </w:r>
      <w:r>
        <w:t xml:space="preserve"> copy of its application to</w:t>
      </w:r>
      <w:r w:rsidR="007D745D">
        <w:t>: (</w:t>
      </w:r>
      <w:r w:rsidR="006B6283">
        <w:t>a) the appropriate officer of each municipality in the Company’s service area, including a summary of the application, a summary of proposed rates by customers and rate class, and proposed tariffs; and (b) attorneys of record for each party that participated in Docket No</w:t>
      </w:r>
      <w:r w:rsidR="00FE1110">
        <w:t>.</w:t>
      </w:r>
      <w:r w:rsidR="006B6283">
        <w:t xml:space="preserve"> 49421. </w:t>
      </w:r>
    </w:p>
    <w:p w14:paraId="31EB6156" w14:textId="2CA5FC28" w:rsidR="00293064" w:rsidRDefault="004365CA" w:rsidP="007760F2">
      <w:pPr>
        <w:pStyle w:val="OrderingParagraph"/>
        <w:tabs>
          <w:tab w:val="clear" w:pos="720"/>
        </w:tabs>
      </w:pPr>
      <w:r>
        <w:t xml:space="preserve">On </w:t>
      </w:r>
      <w:r w:rsidR="00892FCA">
        <w:t>March 18, March 25, April 1, and April 8, 2024, CenterPoint Houston published notice of its application in a newspaper having general circulation in each county containing territory affected by the Company’s application.</w:t>
      </w:r>
    </w:p>
    <w:p w14:paraId="2E01E34E" w14:textId="77777777" w:rsidR="00293064" w:rsidRDefault="00892FCA" w:rsidP="007760F2">
      <w:pPr>
        <w:pStyle w:val="OrderingParagraph"/>
        <w:tabs>
          <w:tab w:val="clear" w:pos="720"/>
        </w:tabs>
      </w:pPr>
      <w:r>
        <w:t>On April 18, 2024, CenterPoint Houston filed the affidavit of Alice S. Hart attesting to the completion of the publication of notice as required by 16 TAC § 22.51(a)(1).</w:t>
      </w:r>
    </w:p>
    <w:p w14:paraId="3C9CE25F" w14:textId="4888C1A3" w:rsidR="00F934A0" w:rsidRPr="003D27D1" w:rsidRDefault="00892FCA" w:rsidP="007760F2">
      <w:pPr>
        <w:pStyle w:val="OrderingParagraph"/>
        <w:tabs>
          <w:tab w:val="clear" w:pos="720"/>
        </w:tabs>
      </w:pPr>
      <w:r>
        <w:t>No party challenged the adequacy of the notice provided by CenterPoint Houston.</w:t>
      </w:r>
    </w:p>
    <w:p w14:paraId="69A53598" w14:textId="00178B1C" w:rsidR="00F934A0" w:rsidRPr="003D27D1" w:rsidRDefault="00892FCA" w:rsidP="00F934A0">
      <w:pPr>
        <w:pStyle w:val="Heading2"/>
      </w:pPr>
      <w:r>
        <w:t>Intervenors</w:t>
      </w:r>
    </w:p>
    <w:p w14:paraId="22154A12" w14:textId="51454A51" w:rsidR="00F7632C" w:rsidRPr="003D27D1" w:rsidRDefault="00892FCA" w:rsidP="00176F8E">
      <w:pPr>
        <w:pStyle w:val="OrderingParagraph"/>
        <w:tabs>
          <w:tab w:val="clear" w:pos="720"/>
        </w:tabs>
      </w:pPr>
      <w:r w:rsidRPr="003D27D1">
        <w:t xml:space="preserve">In SOAH Order No. 2 issued on </w:t>
      </w:r>
      <w:r w:rsidR="009D1FAE">
        <w:t>March 27, 2024</w:t>
      </w:r>
      <w:r w:rsidRPr="003D27D1">
        <w:t xml:space="preserve">, the SOAH ALJs granted intervenor status to the following entities: </w:t>
      </w:r>
      <w:r w:rsidR="009D1FAE">
        <w:t>Office of Public Utility Counsel (“OPUC”); Houston Coalition of Cities (“HCOC”); Gulf Coast Coalition of Cities (“GCCC”); Texas Coast Utilities Coalition (“TCUC”) (collectively, with HCOC and GCCC, “Cities”); Texas Industrial Energy Consumers (“TIEC”); Walmart Inc; International Brotherhood of Electrical Workers Local 66 (“IBEW Local 66”); Environmental Defense Fund</w:t>
      </w:r>
      <w:r w:rsidR="00184AFE">
        <w:t xml:space="preserve"> (“EDF”)</w:t>
      </w:r>
      <w:r w:rsidR="009D1FAE">
        <w:t xml:space="preserve">; and Texas Consumer Association.  </w:t>
      </w:r>
    </w:p>
    <w:p w14:paraId="6C10D15E" w14:textId="6A40E329" w:rsidR="00F7632C" w:rsidRPr="003D27D1" w:rsidRDefault="00892FCA" w:rsidP="007760F2">
      <w:pPr>
        <w:pStyle w:val="OrderingParagraph"/>
        <w:tabs>
          <w:tab w:val="clear" w:pos="720"/>
        </w:tabs>
      </w:pPr>
      <w:r w:rsidRPr="003D27D1">
        <w:t xml:space="preserve">In SOAH Order No. </w:t>
      </w:r>
      <w:r w:rsidR="009D1FAE">
        <w:t>5</w:t>
      </w:r>
      <w:r w:rsidRPr="003D27D1">
        <w:t xml:space="preserve"> issued on </w:t>
      </w:r>
      <w:r w:rsidR="009D1FAE">
        <w:t>May 1, 2025</w:t>
      </w:r>
      <w:r w:rsidRPr="003D27D1">
        <w:t xml:space="preserve">, the SOAH ALJs granted intervenor status to the following entities: </w:t>
      </w:r>
      <w:r w:rsidR="009D1FAE">
        <w:t>Hunt Energy Network LLC; Texas Energy Association for Marketers and Alliance for Retail Markets (collectively, the “REP Coalition”); SMT TX Management II LLC; C</w:t>
      </w:r>
      <w:r w:rsidR="006B603D">
        <w:t>hev</w:t>
      </w:r>
      <w:r w:rsidR="009D1FAE">
        <w:t xml:space="preserve">ron Phillips </w:t>
      </w:r>
      <w:r w:rsidR="006B603D">
        <w:t>Chemical</w:t>
      </w:r>
      <w:r w:rsidR="009D1FAE">
        <w:t xml:space="preserve"> Company, LP; South-</w:t>
      </w:r>
      <w:r w:rsidR="006B603D">
        <w:t>C</w:t>
      </w:r>
      <w:r w:rsidR="009D1FAE">
        <w:t>entral Partnership for Energy Efficiency as a Resource (</w:t>
      </w:r>
      <w:r w:rsidR="00184AFE">
        <w:t>“</w:t>
      </w:r>
      <w:r w:rsidR="009D1FAE">
        <w:t>SPEER</w:t>
      </w:r>
      <w:r w:rsidR="00184AFE">
        <w:t>”</w:t>
      </w:r>
      <w:r w:rsidR="009D1FAE">
        <w:t>); Lee Milam; Timothy S. Large</w:t>
      </w:r>
      <w:r w:rsidR="001908B8">
        <w:t>; and Rebecca Ellio</w:t>
      </w:r>
      <w:r w:rsidR="005541C9">
        <w:t>t</w:t>
      </w:r>
      <w:r w:rsidR="001908B8">
        <w:t>t</w:t>
      </w:r>
      <w:r w:rsidR="009D1FAE">
        <w:t>.</w:t>
      </w:r>
    </w:p>
    <w:p w14:paraId="417E91A7" w14:textId="00E64584" w:rsidR="00020991" w:rsidRPr="003D27D1" w:rsidRDefault="00020991" w:rsidP="007760F2">
      <w:pPr>
        <w:pStyle w:val="OrderingParagraph"/>
        <w:tabs>
          <w:tab w:val="clear" w:pos="720"/>
        </w:tabs>
      </w:pPr>
      <w:r>
        <w:t>On June 12, 2024, Timothy S. Large filed a Notice of Withdrawal as an Intervenor.</w:t>
      </w:r>
    </w:p>
    <w:p w14:paraId="53439B12" w14:textId="77777777" w:rsidR="00F7632C" w:rsidRPr="003D27D1" w:rsidRDefault="00892FCA" w:rsidP="00E94DDA">
      <w:pPr>
        <w:pStyle w:val="Heading2"/>
      </w:pPr>
      <w:r w:rsidRPr="003D27D1">
        <w:t>Appeals of Municipal Ordinances</w:t>
      </w:r>
    </w:p>
    <w:p w14:paraId="2CBF4D67" w14:textId="390790C9" w:rsidR="00F7632C" w:rsidRPr="003D27D1" w:rsidRDefault="00892FCA" w:rsidP="007760F2">
      <w:pPr>
        <w:pStyle w:val="OrderingParagraph"/>
        <w:tabs>
          <w:tab w:val="clear" w:pos="720"/>
        </w:tabs>
      </w:pPr>
      <w:r w:rsidRPr="003D27D1">
        <w:t>CenterPoint Houston timely appealed t</w:t>
      </w:r>
      <w:r w:rsidR="000F7845" w:rsidRPr="003D27D1">
        <w:t>o the Commission the actions of the following municipalities</w:t>
      </w:r>
      <w:r w:rsidR="00EB3069" w:rsidRPr="003D27D1">
        <w:t xml:space="preserve"> exercising original jurisdiction with CenterPoint Houston’s service </w:t>
      </w:r>
      <w:r w:rsidR="00EB3069" w:rsidRPr="003D27D1">
        <w:lastRenderedPageBreak/>
        <w:t xml:space="preserve">territory: </w:t>
      </w:r>
      <w:r w:rsidR="00F06091">
        <w:t xml:space="preserve">Bellaire, Oak Ridge North, Surfside Beach, </w:t>
      </w:r>
      <w:r w:rsidR="002C64D5">
        <w:t>Brazos Country, Brookside Village, Clear Lake Shores, Deer Park, Friendswood, Galveston, Hunters Creek Village,</w:t>
      </w:r>
      <w:r w:rsidR="00C730D4">
        <w:t xml:space="preserve"> </w:t>
      </w:r>
      <w:r w:rsidR="002C64D5">
        <w:t>Jersey Village, Lake</w:t>
      </w:r>
      <w:r w:rsidR="00C730D4">
        <w:t xml:space="preserve"> </w:t>
      </w:r>
      <w:r w:rsidR="002C64D5">
        <w:t>Jackson, Manvel, Missouri City, Oyster Creek, Rosenberg, Santa Fe, South Houston, Stafford, Taylor Lake Village, the Village of Fairchilds, Weston Lakes, Hedwig Village, La Porte, Simonton, the Village of Pleak</w:t>
      </w:r>
      <w:r w:rsidR="00EB5FCC">
        <w:t xml:space="preserve">, </w:t>
      </w:r>
      <w:r w:rsidR="002C64D5">
        <w:t xml:space="preserve">Webster, Alvin, Baytown, Bunker Hill Village, Fulshear, Houston, La Marque, League City, Seabrook, Spring Valley Village, Sugar Land, Texas City, Wharton, </w:t>
      </w:r>
      <w:r w:rsidR="00526B49">
        <w:t xml:space="preserve">Beach City, </w:t>
      </w:r>
      <w:r w:rsidR="002C64D5">
        <w:t>Clute, Danbury, Dickinson, East Bernard, El Lago, Freeport, Meadows Place, Pasadena, Pearland, Quintana, Richmond, Richwood, Sandy Point, Sealy, Shoreacres, Southside Place, Thompsons, Tiki Island, Village of</w:t>
      </w:r>
      <w:r w:rsidR="006B603D">
        <w:t xml:space="preserve"> J</w:t>
      </w:r>
      <w:r w:rsidR="002C64D5">
        <w:t>ones Creek, West Columbia, and West University Place.</w:t>
      </w:r>
    </w:p>
    <w:p w14:paraId="779BD704" w14:textId="044E394C" w:rsidR="00F7632C" w:rsidRDefault="00892FCA" w:rsidP="007760F2">
      <w:pPr>
        <w:pStyle w:val="OrderingParagraph"/>
        <w:tabs>
          <w:tab w:val="clear" w:pos="720"/>
        </w:tabs>
      </w:pPr>
      <w:r w:rsidRPr="003D27D1">
        <w:t xml:space="preserve">In SOAH Order No. </w:t>
      </w:r>
      <w:r w:rsidR="002C64D5">
        <w:t>9</w:t>
      </w:r>
      <w:r w:rsidR="0067454F">
        <w:t xml:space="preserve"> issued on June 20, 2024</w:t>
      </w:r>
      <w:r w:rsidR="002C64D5">
        <w:t>,</w:t>
      </w:r>
      <w:r w:rsidR="0067454F">
        <w:t xml:space="preserve"> SOAH Order No.</w:t>
      </w:r>
      <w:r w:rsidR="002C64D5">
        <w:t xml:space="preserve"> 10</w:t>
      </w:r>
      <w:r w:rsidR="0067454F">
        <w:t xml:space="preserve"> issued on July 12, 2024</w:t>
      </w:r>
      <w:r w:rsidR="002C64D5">
        <w:t xml:space="preserve">, and </w:t>
      </w:r>
      <w:r w:rsidR="0067454F">
        <w:t xml:space="preserve">SOAH Order No. </w:t>
      </w:r>
      <w:r w:rsidR="002C64D5">
        <w:t>12</w:t>
      </w:r>
      <w:r w:rsidRPr="003D27D1">
        <w:t xml:space="preserve"> </w:t>
      </w:r>
      <w:r w:rsidR="0067454F">
        <w:t xml:space="preserve">issued on August 1, 2024, the SOAH ALJs consolidated, for determination in this proceeding, all of CenterPoint Houston’s petitions for review of the rate actions of the municipalities exercising original jurisdiction within </w:t>
      </w:r>
      <w:r w:rsidRPr="003D27D1">
        <w:t xml:space="preserve">CenterPoint Houston’s </w:t>
      </w:r>
      <w:r w:rsidR="0067454F">
        <w:t>service territory as follows:</w:t>
      </w:r>
    </w:p>
    <w:tbl>
      <w:tblPr>
        <w:tblStyle w:val="TableGrid"/>
        <w:tblW w:w="8635" w:type="dxa"/>
        <w:tblInd w:w="720" w:type="dxa"/>
        <w:tblLook w:val="04A0" w:firstRow="1" w:lastRow="0" w:firstColumn="1" w:lastColumn="0" w:noHBand="0" w:noVBand="1"/>
      </w:tblPr>
      <w:tblGrid>
        <w:gridCol w:w="1170"/>
        <w:gridCol w:w="7465"/>
      </w:tblGrid>
      <w:tr w:rsidR="00652856" w14:paraId="4BCF1FE9" w14:textId="77777777" w:rsidTr="00877FBD">
        <w:tc>
          <w:tcPr>
            <w:tcW w:w="1170" w:type="dxa"/>
          </w:tcPr>
          <w:p w14:paraId="2CBE85DE" w14:textId="2E36EC9D" w:rsidR="00EB5FCC" w:rsidRPr="00877FBD" w:rsidRDefault="00892FCA" w:rsidP="00877FBD">
            <w:pPr>
              <w:pStyle w:val="OrderingParagraph"/>
              <w:numPr>
                <w:ilvl w:val="0"/>
                <w:numId w:val="0"/>
              </w:numPr>
              <w:spacing w:before="0" w:line="240" w:lineRule="auto"/>
              <w:jc w:val="center"/>
            </w:pPr>
            <w:r>
              <w:t>SOAH Order</w:t>
            </w:r>
          </w:p>
        </w:tc>
        <w:tc>
          <w:tcPr>
            <w:tcW w:w="7465" w:type="dxa"/>
          </w:tcPr>
          <w:p w14:paraId="2422624D" w14:textId="2DB54F2E" w:rsidR="00EB5FCC" w:rsidRPr="00877FBD" w:rsidRDefault="00892FCA" w:rsidP="00877FBD">
            <w:pPr>
              <w:pStyle w:val="OrderingParagraph"/>
              <w:numPr>
                <w:ilvl w:val="0"/>
                <w:numId w:val="0"/>
              </w:numPr>
              <w:spacing w:before="0" w:line="240" w:lineRule="auto"/>
              <w:jc w:val="center"/>
            </w:pPr>
            <w:r>
              <w:t>Municipalities</w:t>
            </w:r>
          </w:p>
        </w:tc>
      </w:tr>
      <w:tr w:rsidR="00652856" w14:paraId="2C322A63" w14:textId="77777777" w:rsidTr="00877FBD">
        <w:tc>
          <w:tcPr>
            <w:tcW w:w="1170" w:type="dxa"/>
          </w:tcPr>
          <w:p w14:paraId="6D82ED5A" w14:textId="39CD45AE" w:rsidR="00EB5FCC" w:rsidRDefault="00892FCA" w:rsidP="00770555">
            <w:pPr>
              <w:pStyle w:val="OrderingParagraph"/>
              <w:numPr>
                <w:ilvl w:val="0"/>
                <w:numId w:val="0"/>
              </w:numPr>
              <w:spacing w:before="0" w:line="240" w:lineRule="auto"/>
              <w:jc w:val="center"/>
            </w:pPr>
            <w:r>
              <w:t>9</w:t>
            </w:r>
          </w:p>
        </w:tc>
        <w:tc>
          <w:tcPr>
            <w:tcW w:w="7465" w:type="dxa"/>
          </w:tcPr>
          <w:p w14:paraId="52D88DCE" w14:textId="4F06BEBC" w:rsidR="00EB5FCC" w:rsidRDefault="00175D03" w:rsidP="00877FBD">
            <w:pPr>
              <w:pStyle w:val="OrderingParagraph"/>
              <w:numPr>
                <w:ilvl w:val="0"/>
                <w:numId w:val="0"/>
              </w:numPr>
              <w:spacing w:before="0" w:line="240" w:lineRule="auto"/>
            </w:pPr>
            <w:r>
              <w:t xml:space="preserve">Bellaire, Oak Ridge North, Surfside Beach, </w:t>
            </w:r>
            <w:r w:rsidR="00892FCA">
              <w:t>Brazos Country, Brookside Village, Clear Lake Shores, Deer Park, Friendswood, Galveston, Hunters Creek Village, Jersey Village, Lake Jackson, Manvel, Missouri City, Oyster Creek, Rosenberg, Santa Fe, South Houston, Stafford, Taylor Lake Village, the Village of Fairchilds, and Weston Lakes</w:t>
            </w:r>
          </w:p>
        </w:tc>
      </w:tr>
      <w:tr w:rsidR="00652856" w14:paraId="7365DAE3" w14:textId="77777777" w:rsidTr="00877FBD">
        <w:tc>
          <w:tcPr>
            <w:tcW w:w="1170" w:type="dxa"/>
          </w:tcPr>
          <w:p w14:paraId="082A6D17" w14:textId="77E07654" w:rsidR="00EB5FCC" w:rsidRDefault="00892FCA" w:rsidP="00770555">
            <w:pPr>
              <w:pStyle w:val="OrderingParagraph"/>
              <w:numPr>
                <w:ilvl w:val="0"/>
                <w:numId w:val="0"/>
              </w:numPr>
              <w:spacing w:before="0" w:line="240" w:lineRule="auto"/>
              <w:jc w:val="center"/>
            </w:pPr>
            <w:r>
              <w:t>10</w:t>
            </w:r>
          </w:p>
        </w:tc>
        <w:tc>
          <w:tcPr>
            <w:tcW w:w="7465" w:type="dxa"/>
          </w:tcPr>
          <w:p w14:paraId="5EA7ADD2" w14:textId="3DBCD98A" w:rsidR="00EB5FCC" w:rsidRDefault="00892FCA" w:rsidP="00877FBD">
            <w:pPr>
              <w:pStyle w:val="OrderingParagraph"/>
              <w:numPr>
                <w:ilvl w:val="0"/>
                <w:numId w:val="0"/>
              </w:numPr>
              <w:spacing w:before="0" w:line="240" w:lineRule="auto"/>
            </w:pPr>
            <w:r>
              <w:t>Hedwig Village, La Porte, Simonton, the Village of Pleak, and Webster</w:t>
            </w:r>
          </w:p>
        </w:tc>
      </w:tr>
      <w:tr w:rsidR="00652856" w14:paraId="7508B10C" w14:textId="77777777" w:rsidTr="00877FBD">
        <w:tc>
          <w:tcPr>
            <w:tcW w:w="1170" w:type="dxa"/>
          </w:tcPr>
          <w:p w14:paraId="5A303A55" w14:textId="7AA7EC13" w:rsidR="00EB5FCC" w:rsidRDefault="00892FCA" w:rsidP="00770555">
            <w:pPr>
              <w:pStyle w:val="OrderingParagraph"/>
              <w:numPr>
                <w:ilvl w:val="0"/>
                <w:numId w:val="0"/>
              </w:numPr>
              <w:spacing w:before="0" w:line="240" w:lineRule="auto"/>
              <w:jc w:val="center"/>
            </w:pPr>
            <w:r>
              <w:t>12</w:t>
            </w:r>
          </w:p>
        </w:tc>
        <w:tc>
          <w:tcPr>
            <w:tcW w:w="7465" w:type="dxa"/>
          </w:tcPr>
          <w:p w14:paraId="073ABC5A" w14:textId="080A7072" w:rsidR="00EB5FCC" w:rsidRDefault="00892FCA" w:rsidP="00877FBD">
            <w:pPr>
              <w:pStyle w:val="OrderingParagraph"/>
              <w:numPr>
                <w:ilvl w:val="0"/>
                <w:numId w:val="0"/>
              </w:numPr>
              <w:spacing w:before="0" w:line="240" w:lineRule="auto"/>
            </w:pPr>
            <w:r>
              <w:t xml:space="preserve">Alvin, Baytown, Bunker Hill Village, Fulshear, Houston, La Marque, League City, Seabrook, Spring Valley Village, Sugar Land, Texas City, Wharton, </w:t>
            </w:r>
            <w:r w:rsidR="004B55A1">
              <w:t xml:space="preserve">Beach City, </w:t>
            </w:r>
            <w:r>
              <w:t>Clute, Danbury, Dickinson, East Bernard, El Lago, Freeport, Meadows Place, Pasadena, Pearland, Quintana, Richmond, Richwood, Sandy Point, Sealy, Shoreacres, Southside Place, Thompsons, Tiki Island, Village of Jones Creek, West Columbia, and West University Place</w:t>
            </w:r>
          </w:p>
        </w:tc>
      </w:tr>
    </w:tbl>
    <w:p w14:paraId="6F8BB47B" w14:textId="77777777" w:rsidR="0067454F" w:rsidRPr="003D27D1" w:rsidRDefault="0067454F" w:rsidP="00770555">
      <w:pPr>
        <w:pStyle w:val="OrderingParagraph"/>
        <w:numPr>
          <w:ilvl w:val="0"/>
          <w:numId w:val="0"/>
        </w:numPr>
        <w:ind w:left="720"/>
      </w:pPr>
    </w:p>
    <w:p w14:paraId="273D3ECB" w14:textId="77777777" w:rsidR="007E3131" w:rsidRDefault="00892FCA" w:rsidP="00E94DDA">
      <w:pPr>
        <w:pStyle w:val="Heading2"/>
      </w:pPr>
      <w:r>
        <w:lastRenderedPageBreak/>
        <w:t>Testimony and Statements of Position</w:t>
      </w:r>
    </w:p>
    <w:p w14:paraId="739EA6F1" w14:textId="713FE16A" w:rsidR="007E3131" w:rsidRDefault="00892FCA" w:rsidP="004167FE">
      <w:pPr>
        <w:pStyle w:val="OrderingParagraph"/>
        <w:tabs>
          <w:tab w:val="clear" w:pos="720"/>
        </w:tabs>
      </w:pPr>
      <w:r>
        <w:t>On March 6, 2024, CenterPoint Houston included in its application the direct testimonies and exhibits of Lynnae K. Wilson, Jason M. Ryan, Eric D. Easton, David Mercado, Deryl Tumlinson, Randal M. Pryor, Mandie Shook, Rina H. Harris, John R. Hudson III, Kristie L. Colvin, L. Darren Storey, Jennifer K. Story, Steven Greenley, Ronald W. Bahr, Shonda Royston-Johnson, M.</w:t>
      </w:r>
      <w:r w:rsidR="00C730D4">
        <w:t xml:space="preserve"> </w:t>
      </w:r>
      <w:r>
        <w:t>Shane Kimzey, Brad Tutunjian, Stephanie Bundage Juvane, Carla Kneipp, John Sousa, Bertha R. Villatoro, Timothy S. Lyons, Dane A. Watson, Ann E. Bulkley, Jacqueline M. Richert, Gregory S. Wilson, Dr. J. Stuart McMenamin, John R. Durland, and Myles F. Reynolds.</w:t>
      </w:r>
    </w:p>
    <w:p w14:paraId="36006DDB" w14:textId="21B5A8BE" w:rsidR="004E6C43" w:rsidRDefault="00892FCA" w:rsidP="007760F2">
      <w:pPr>
        <w:pStyle w:val="OrderingParagraph"/>
        <w:tabs>
          <w:tab w:val="clear" w:pos="720"/>
        </w:tabs>
      </w:pPr>
      <w:r>
        <w:t>On June 19, 2024, the following direct testimonies were filed:</w:t>
      </w:r>
    </w:p>
    <w:tbl>
      <w:tblPr>
        <w:tblStyle w:val="TableGrid"/>
        <w:tblW w:w="8635" w:type="dxa"/>
        <w:tblInd w:w="720" w:type="dxa"/>
        <w:tblLook w:val="04A0" w:firstRow="1" w:lastRow="0" w:firstColumn="1" w:lastColumn="0" w:noHBand="0" w:noVBand="1"/>
      </w:tblPr>
      <w:tblGrid>
        <w:gridCol w:w="1705"/>
        <w:gridCol w:w="6930"/>
      </w:tblGrid>
      <w:tr w:rsidR="00652856" w14:paraId="7B42D118" w14:textId="77777777" w:rsidTr="00877FBD">
        <w:tc>
          <w:tcPr>
            <w:tcW w:w="1705" w:type="dxa"/>
          </w:tcPr>
          <w:p w14:paraId="47E85BA7" w14:textId="5765DBC6" w:rsidR="004E6C43" w:rsidRPr="002C16B0" w:rsidRDefault="00892FCA" w:rsidP="002C16B0">
            <w:pPr>
              <w:pStyle w:val="OrderingParagraph"/>
              <w:numPr>
                <w:ilvl w:val="0"/>
                <w:numId w:val="0"/>
              </w:numPr>
              <w:spacing w:before="0" w:line="240" w:lineRule="auto"/>
              <w:jc w:val="center"/>
            </w:pPr>
            <w:r>
              <w:t>Filing Party</w:t>
            </w:r>
          </w:p>
        </w:tc>
        <w:tc>
          <w:tcPr>
            <w:tcW w:w="6930" w:type="dxa"/>
          </w:tcPr>
          <w:p w14:paraId="3810E58B" w14:textId="3142347A" w:rsidR="004E6C43" w:rsidRPr="002C16B0" w:rsidRDefault="00892FCA" w:rsidP="002C16B0">
            <w:pPr>
              <w:pStyle w:val="OrderingParagraph"/>
              <w:numPr>
                <w:ilvl w:val="0"/>
                <w:numId w:val="0"/>
              </w:numPr>
              <w:spacing w:before="0" w:line="240" w:lineRule="auto"/>
              <w:jc w:val="center"/>
            </w:pPr>
            <w:r>
              <w:t>Filing Description</w:t>
            </w:r>
          </w:p>
        </w:tc>
      </w:tr>
      <w:tr w:rsidR="00652856" w14:paraId="263541C2" w14:textId="77777777" w:rsidTr="00877FBD">
        <w:tc>
          <w:tcPr>
            <w:tcW w:w="1705" w:type="dxa"/>
          </w:tcPr>
          <w:p w14:paraId="4D5C907C" w14:textId="4626976F" w:rsidR="004E6C43" w:rsidRDefault="00892FCA" w:rsidP="00770555">
            <w:pPr>
              <w:pStyle w:val="OrderingParagraph"/>
              <w:numPr>
                <w:ilvl w:val="0"/>
                <w:numId w:val="0"/>
              </w:numPr>
              <w:spacing w:before="0" w:line="240" w:lineRule="auto"/>
              <w:jc w:val="center"/>
            </w:pPr>
            <w:r>
              <w:t>OPUC</w:t>
            </w:r>
          </w:p>
        </w:tc>
        <w:tc>
          <w:tcPr>
            <w:tcW w:w="6930" w:type="dxa"/>
          </w:tcPr>
          <w:p w14:paraId="731FCE2B" w14:textId="4EC9CD41" w:rsidR="004E6C43" w:rsidRDefault="00892FCA" w:rsidP="002C16B0">
            <w:pPr>
              <w:pStyle w:val="OrderingParagraph"/>
              <w:numPr>
                <w:ilvl w:val="0"/>
                <w:numId w:val="0"/>
              </w:numPr>
              <w:spacing w:before="0" w:line="240" w:lineRule="auto"/>
            </w:pPr>
            <w:r>
              <w:t>Direct testimonies and exhibits of Laurie Tomczyk and Kyra Coyle</w:t>
            </w:r>
          </w:p>
        </w:tc>
      </w:tr>
      <w:tr w:rsidR="00652856" w14:paraId="1DA4EE15" w14:textId="77777777" w:rsidTr="00877FBD">
        <w:tc>
          <w:tcPr>
            <w:tcW w:w="1705" w:type="dxa"/>
          </w:tcPr>
          <w:p w14:paraId="642865F3" w14:textId="002D353B" w:rsidR="004E6C43" w:rsidRDefault="00892FCA" w:rsidP="00770555">
            <w:pPr>
              <w:pStyle w:val="OrderingParagraph"/>
              <w:numPr>
                <w:ilvl w:val="0"/>
                <w:numId w:val="0"/>
              </w:numPr>
              <w:spacing w:before="0" w:line="240" w:lineRule="auto"/>
              <w:jc w:val="center"/>
            </w:pPr>
            <w:r>
              <w:t>HCOC</w:t>
            </w:r>
          </w:p>
        </w:tc>
        <w:tc>
          <w:tcPr>
            <w:tcW w:w="6930" w:type="dxa"/>
          </w:tcPr>
          <w:p w14:paraId="7CDBF723" w14:textId="2EB77EFC" w:rsidR="004E6C43" w:rsidRDefault="00892FCA" w:rsidP="002C16B0">
            <w:pPr>
              <w:pStyle w:val="OrderingParagraph"/>
              <w:numPr>
                <w:ilvl w:val="0"/>
                <w:numId w:val="0"/>
              </w:numPr>
              <w:spacing w:before="0" w:line="240" w:lineRule="auto"/>
            </w:pPr>
            <w:r>
              <w:t>Direct testimonies and exhibits of Mark E. Garrett, Steven D. Hunt, Michael E. Ivey, and Brea</w:t>
            </w:r>
            <w:r w:rsidR="00191D29">
              <w:t>n</w:t>
            </w:r>
            <w:r>
              <w:t>dan T. Mac Mathuna</w:t>
            </w:r>
          </w:p>
        </w:tc>
      </w:tr>
      <w:tr w:rsidR="00652856" w14:paraId="33839F0B" w14:textId="77777777" w:rsidTr="00877FBD">
        <w:tc>
          <w:tcPr>
            <w:tcW w:w="1705" w:type="dxa"/>
          </w:tcPr>
          <w:p w14:paraId="5B4E528D" w14:textId="5ED6FBA8" w:rsidR="004E6C43" w:rsidRDefault="00892FCA" w:rsidP="00770555">
            <w:pPr>
              <w:pStyle w:val="OrderingParagraph"/>
              <w:numPr>
                <w:ilvl w:val="0"/>
                <w:numId w:val="0"/>
              </w:numPr>
              <w:spacing w:before="0" w:line="240" w:lineRule="auto"/>
              <w:jc w:val="center"/>
            </w:pPr>
            <w:r>
              <w:t>TCUC</w:t>
            </w:r>
          </w:p>
        </w:tc>
        <w:tc>
          <w:tcPr>
            <w:tcW w:w="6930" w:type="dxa"/>
          </w:tcPr>
          <w:p w14:paraId="66C1CA88" w14:textId="0878FF12" w:rsidR="004E6C43" w:rsidRDefault="00892FCA" w:rsidP="002C16B0">
            <w:pPr>
              <w:pStyle w:val="OrderingParagraph"/>
              <w:numPr>
                <w:ilvl w:val="0"/>
                <w:numId w:val="0"/>
              </w:numPr>
              <w:spacing w:before="0" w:line="240" w:lineRule="auto"/>
            </w:pPr>
            <w:r>
              <w:t>Direct testimonies and exhibits of David J. Garrett, Scott Norwood, and J. Randall Woolridge</w:t>
            </w:r>
          </w:p>
        </w:tc>
      </w:tr>
      <w:tr w:rsidR="00652856" w14:paraId="67DEF7AA" w14:textId="77777777" w:rsidTr="00877FBD">
        <w:tc>
          <w:tcPr>
            <w:tcW w:w="1705" w:type="dxa"/>
          </w:tcPr>
          <w:p w14:paraId="6699A2FE" w14:textId="2C38501B" w:rsidR="004E6C43" w:rsidRDefault="00892FCA" w:rsidP="00770555">
            <w:pPr>
              <w:pStyle w:val="OrderingParagraph"/>
              <w:numPr>
                <w:ilvl w:val="0"/>
                <w:numId w:val="0"/>
              </w:numPr>
              <w:spacing w:before="0" w:line="240" w:lineRule="auto"/>
              <w:jc w:val="center"/>
            </w:pPr>
            <w:r>
              <w:t>GCCC</w:t>
            </w:r>
          </w:p>
        </w:tc>
        <w:tc>
          <w:tcPr>
            <w:tcW w:w="6930" w:type="dxa"/>
          </w:tcPr>
          <w:p w14:paraId="2F0EDA71" w14:textId="0B7B3ABF" w:rsidR="004E6C43" w:rsidRDefault="00892FCA" w:rsidP="002C16B0">
            <w:pPr>
              <w:pStyle w:val="OrderingParagraph"/>
              <w:numPr>
                <w:ilvl w:val="0"/>
                <w:numId w:val="0"/>
              </w:numPr>
              <w:spacing w:before="0" w:line="240" w:lineRule="auto"/>
            </w:pPr>
            <w:r>
              <w:t>Direct testimony of Lane Kollen</w:t>
            </w:r>
          </w:p>
        </w:tc>
      </w:tr>
      <w:tr w:rsidR="00652856" w14:paraId="3DAF0380" w14:textId="77777777" w:rsidTr="00877FBD">
        <w:tc>
          <w:tcPr>
            <w:tcW w:w="1705" w:type="dxa"/>
          </w:tcPr>
          <w:p w14:paraId="1AA3ECF0" w14:textId="52622D6C" w:rsidR="004E6C43" w:rsidRDefault="00892FCA" w:rsidP="00770555">
            <w:pPr>
              <w:pStyle w:val="OrderingParagraph"/>
              <w:numPr>
                <w:ilvl w:val="0"/>
                <w:numId w:val="0"/>
              </w:numPr>
              <w:spacing w:before="0" w:line="240" w:lineRule="auto"/>
              <w:jc w:val="center"/>
            </w:pPr>
            <w:r>
              <w:t>TIEC</w:t>
            </w:r>
          </w:p>
        </w:tc>
        <w:tc>
          <w:tcPr>
            <w:tcW w:w="6930" w:type="dxa"/>
          </w:tcPr>
          <w:p w14:paraId="1DC585E9" w14:textId="4EAECEDA" w:rsidR="004E6C43" w:rsidRDefault="00892FCA" w:rsidP="002C16B0">
            <w:pPr>
              <w:pStyle w:val="OrderingParagraph"/>
              <w:numPr>
                <w:ilvl w:val="0"/>
                <w:numId w:val="0"/>
              </w:numPr>
              <w:spacing w:before="0" w:line="240" w:lineRule="auto"/>
            </w:pPr>
            <w:r>
              <w:t>Direct testimonies and exhibits of Michael P. Gorman and Jeffry Pollock</w:t>
            </w:r>
          </w:p>
        </w:tc>
      </w:tr>
      <w:tr w:rsidR="00652856" w14:paraId="532BCEA4" w14:textId="77777777" w:rsidTr="00877FBD">
        <w:tc>
          <w:tcPr>
            <w:tcW w:w="1705" w:type="dxa"/>
          </w:tcPr>
          <w:p w14:paraId="1161FD64" w14:textId="7DDB0CBA" w:rsidR="004E6C43" w:rsidRDefault="582360BC" w:rsidP="00770555">
            <w:pPr>
              <w:pStyle w:val="OrderingParagraph"/>
              <w:numPr>
                <w:ilvl w:val="0"/>
                <w:numId w:val="0"/>
              </w:numPr>
              <w:spacing w:before="0" w:line="240" w:lineRule="auto"/>
              <w:jc w:val="center"/>
            </w:pPr>
            <w:r>
              <w:t>Walmart Inc</w:t>
            </w:r>
            <w:r w:rsidR="00DB41B3">
              <w:t>.</w:t>
            </w:r>
          </w:p>
        </w:tc>
        <w:tc>
          <w:tcPr>
            <w:tcW w:w="6930" w:type="dxa"/>
          </w:tcPr>
          <w:p w14:paraId="7742A7C9" w14:textId="0C61A294" w:rsidR="004E6C43" w:rsidRDefault="00892FCA" w:rsidP="002C16B0">
            <w:pPr>
              <w:pStyle w:val="OrderingParagraph"/>
              <w:numPr>
                <w:ilvl w:val="0"/>
                <w:numId w:val="0"/>
              </w:numPr>
              <w:spacing w:before="0" w:line="240" w:lineRule="auto"/>
            </w:pPr>
            <w:r>
              <w:t>Direct testimony and exhibits of Lisa V. Perry</w:t>
            </w:r>
          </w:p>
        </w:tc>
      </w:tr>
      <w:tr w:rsidR="00652856" w14:paraId="24230676" w14:textId="77777777" w:rsidTr="00877FBD">
        <w:tc>
          <w:tcPr>
            <w:tcW w:w="1705" w:type="dxa"/>
          </w:tcPr>
          <w:p w14:paraId="52A356E6" w14:textId="2FC19D32" w:rsidR="004E6C43" w:rsidRDefault="00892FCA" w:rsidP="00770555">
            <w:pPr>
              <w:pStyle w:val="OrderingParagraph"/>
              <w:numPr>
                <w:ilvl w:val="0"/>
                <w:numId w:val="0"/>
              </w:numPr>
              <w:spacing w:before="0" w:line="240" w:lineRule="auto"/>
              <w:jc w:val="center"/>
            </w:pPr>
            <w:r>
              <w:t>EDF</w:t>
            </w:r>
          </w:p>
        </w:tc>
        <w:tc>
          <w:tcPr>
            <w:tcW w:w="6930" w:type="dxa"/>
          </w:tcPr>
          <w:p w14:paraId="5F498FEB" w14:textId="2F07DBEE" w:rsidR="004E6C43" w:rsidRDefault="00892FCA" w:rsidP="002C16B0">
            <w:pPr>
              <w:pStyle w:val="OrderingParagraph"/>
              <w:numPr>
                <w:ilvl w:val="0"/>
                <w:numId w:val="0"/>
              </w:numPr>
              <w:spacing w:before="0" w:line="240" w:lineRule="auto"/>
            </w:pPr>
            <w:r>
              <w:t>Direct testimonies and exhibits of Yihao Xie and Chris Hickman</w:t>
            </w:r>
          </w:p>
        </w:tc>
      </w:tr>
    </w:tbl>
    <w:p w14:paraId="6F7A6922" w14:textId="29B121DA" w:rsidR="00184AFE" w:rsidRDefault="00892FCA" w:rsidP="007760F2">
      <w:pPr>
        <w:pStyle w:val="OrderingParagraph"/>
        <w:tabs>
          <w:tab w:val="clear" w:pos="720"/>
        </w:tabs>
      </w:pPr>
      <w:r>
        <w:t xml:space="preserve">On June 20, 2024, SPEER filed a Statement of Position. </w:t>
      </w:r>
    </w:p>
    <w:p w14:paraId="73EBBB87" w14:textId="77777777" w:rsidR="00184AFE" w:rsidRDefault="00892FCA" w:rsidP="007760F2">
      <w:pPr>
        <w:pStyle w:val="OrderingParagraph"/>
        <w:tabs>
          <w:tab w:val="clear" w:pos="720"/>
        </w:tabs>
      </w:pPr>
      <w:r>
        <w:t>On June 21, 2024, HCOC filed the direct testimony of Kit Pevoto.</w:t>
      </w:r>
    </w:p>
    <w:p w14:paraId="7BACE49B" w14:textId="51173F83" w:rsidR="007E3131" w:rsidRDefault="00892FCA" w:rsidP="007760F2">
      <w:pPr>
        <w:pStyle w:val="OrderingParagraph"/>
        <w:tabs>
          <w:tab w:val="clear" w:pos="720"/>
        </w:tabs>
      </w:pPr>
      <w:r>
        <w:t xml:space="preserve">On June 26, </w:t>
      </w:r>
      <w:r w:rsidR="00104DDB">
        <w:t>2024,</w:t>
      </w:r>
      <w:r>
        <w:t xml:space="preserve"> and June 28, 2024, Staff filed the direct testimon</w:t>
      </w:r>
      <w:r w:rsidR="00184AFE">
        <w:t xml:space="preserve">ies </w:t>
      </w:r>
      <w:r>
        <w:t>and exhibits of Mark Filarowicz, Ruth Stark, James Euton, Adrian Narvaez, John Poole, and Vonetta Jackson.</w:t>
      </w:r>
    </w:p>
    <w:p w14:paraId="32CB19D4" w14:textId="2B7A8903" w:rsidR="007E3131" w:rsidRDefault="00892FCA" w:rsidP="007760F2">
      <w:pPr>
        <w:pStyle w:val="OrderingParagraph"/>
        <w:tabs>
          <w:tab w:val="clear" w:pos="720"/>
        </w:tabs>
      </w:pPr>
      <w:r>
        <w:t xml:space="preserve">On July 10, 2024, Staff filed the </w:t>
      </w:r>
      <w:r w:rsidR="00104DDB">
        <w:t>cross-rebuttal</w:t>
      </w:r>
      <w:r>
        <w:t xml:space="preserve"> testimony of Adrian Narvaez and William B. Abbott.</w:t>
      </w:r>
    </w:p>
    <w:p w14:paraId="34AA95E2" w14:textId="03EC712A" w:rsidR="007E3131" w:rsidRDefault="00892FCA" w:rsidP="007760F2">
      <w:pPr>
        <w:pStyle w:val="OrderingParagraph"/>
        <w:tabs>
          <w:tab w:val="clear" w:pos="720"/>
        </w:tabs>
      </w:pPr>
      <w:r>
        <w:t xml:space="preserve">On July 12, 2024, CenterPoint Houston filed the rebuttal </w:t>
      </w:r>
      <w:r w:rsidR="00184AFE">
        <w:t xml:space="preserve">testimonies </w:t>
      </w:r>
      <w:r>
        <w:t>of Jason Ryan, Jacqueline Richert, Kristie Colvin, Ann Bulkley, Bertha Villatoro, Jennifer Story, Ronald Bahr, Brad Tutunjian, John Durland, Timothy Lyons, Dane Watson, Gregory Wilson, and Myles Reynolds.</w:t>
      </w:r>
    </w:p>
    <w:p w14:paraId="736B298A" w14:textId="4CB833B1" w:rsidR="00871997" w:rsidRDefault="00892FCA" w:rsidP="007760F2">
      <w:pPr>
        <w:pStyle w:val="OrderingParagraph"/>
        <w:tabs>
          <w:tab w:val="clear" w:pos="720"/>
        </w:tabs>
      </w:pPr>
      <w:r>
        <w:lastRenderedPageBreak/>
        <w:t xml:space="preserve">In SOAH Order No. 10 issued on July 12, 2024, the ALJs extended the deadline for CenterPoint Houston to file rebuttal testimonies for Eric D. Easton, David Mercado, Deryl Tumlinson, Mandie Shook, Randal H. Pryor, and Rina H. Harris to July 19, 2024. Additionally, supplemental rebuttal testimony of Kristie L. Colvin was also extended to July 19, 2024. </w:t>
      </w:r>
    </w:p>
    <w:p w14:paraId="0F44DDF7" w14:textId="77777777" w:rsidR="007E3131" w:rsidRDefault="00892FCA" w:rsidP="00E94DDA">
      <w:pPr>
        <w:pStyle w:val="Heading2"/>
      </w:pPr>
      <w:r>
        <w:t xml:space="preserve">Referral to SOAH </w:t>
      </w:r>
    </w:p>
    <w:p w14:paraId="6003FE8E" w14:textId="77777777" w:rsidR="007E3131" w:rsidRDefault="00892FCA" w:rsidP="00B16DA1">
      <w:pPr>
        <w:pStyle w:val="OrderingParagraph"/>
        <w:tabs>
          <w:tab w:val="clear" w:pos="720"/>
        </w:tabs>
      </w:pPr>
      <w:r>
        <w:t>On March 7, 2024, the Commission referred this docket to SOAH and ordered CenterPoint Houston, Commission Staff, and any other interested party to file a list of issues by March 21, 2024.</w:t>
      </w:r>
    </w:p>
    <w:p w14:paraId="144985C6" w14:textId="77777777" w:rsidR="007E3131" w:rsidRDefault="00892FCA" w:rsidP="007760F2">
      <w:pPr>
        <w:pStyle w:val="OrderingParagraph"/>
        <w:tabs>
          <w:tab w:val="clear" w:pos="720"/>
        </w:tabs>
      </w:pPr>
      <w:r>
        <w:t>In SOAH Order No. 1 issued on March 7, 2024, the SOAH ALJs suspended rates until September 7, 2024, and provided notice of a prehearing conference.</w:t>
      </w:r>
    </w:p>
    <w:p w14:paraId="639DBDE4" w14:textId="31F09765" w:rsidR="007E3131" w:rsidRDefault="00892FCA" w:rsidP="007760F2">
      <w:pPr>
        <w:pStyle w:val="OrderingParagraph"/>
        <w:tabs>
          <w:tab w:val="clear" w:pos="720"/>
        </w:tabs>
      </w:pPr>
      <w:r>
        <w:t xml:space="preserve">On April 11, 2024, the Commission approved the preliminary order (Preliminary Order) for this docket, setting forth a list of 62 issues to be addressed. </w:t>
      </w:r>
    </w:p>
    <w:p w14:paraId="358AC02D" w14:textId="79148B37" w:rsidR="007E3131" w:rsidRDefault="00892FCA" w:rsidP="007760F2">
      <w:pPr>
        <w:pStyle w:val="OrderingParagraph"/>
        <w:tabs>
          <w:tab w:val="clear" w:pos="720"/>
        </w:tabs>
      </w:pPr>
      <w:r>
        <w:t xml:space="preserve">In SOAH Order No. 8 issued on June 20, 2024, the ALJ extended the deadline for testimony regarding cost allocation to June 21, </w:t>
      </w:r>
      <w:r w:rsidR="00104DDB">
        <w:t>2024,</w:t>
      </w:r>
      <w:r>
        <w:t xml:space="preserve"> for intervenors and to June 28, </w:t>
      </w:r>
      <w:r w:rsidR="00AB476D">
        <w:t>2024,</w:t>
      </w:r>
      <w:r>
        <w:t xml:space="preserve"> for Staff.</w:t>
      </w:r>
    </w:p>
    <w:p w14:paraId="26FB4ADA" w14:textId="14B42B28" w:rsidR="007E3131" w:rsidRDefault="00892FCA" w:rsidP="007760F2">
      <w:pPr>
        <w:pStyle w:val="OrderingParagraph"/>
        <w:tabs>
          <w:tab w:val="clear" w:pos="720"/>
        </w:tabs>
      </w:pPr>
      <w:r>
        <w:t xml:space="preserve">In SOAH Order No. 10 issued on July 12, 2024, the ALJ extended the deadline to file rebuttal testimony for CenterPoint Houston to July 19, </w:t>
      </w:r>
      <w:r w:rsidR="00104DDB">
        <w:t>2024,</w:t>
      </w:r>
      <w:r>
        <w:t xml:space="preserve"> and the deadline for discovery on this testimony to July 24, 2024.</w:t>
      </w:r>
    </w:p>
    <w:p w14:paraId="11735222" w14:textId="149DA987" w:rsidR="007E3131" w:rsidRDefault="00892FCA" w:rsidP="007760F2">
      <w:pPr>
        <w:pStyle w:val="OrderingParagraph"/>
        <w:tabs>
          <w:tab w:val="clear" w:pos="720"/>
        </w:tabs>
      </w:pPr>
      <w:r>
        <w:t xml:space="preserve">In SOAH Order No. 11 issued on July 17, 2024, the ALJ abated all pending deadlines in this proceeding and cancelled the hearing on the merits scheduled to begin on July 29, </w:t>
      </w:r>
      <w:r w:rsidR="00104DDB">
        <w:t>2024,</w:t>
      </w:r>
      <w:r>
        <w:t xml:space="preserve"> to allow </w:t>
      </w:r>
      <w:r w:rsidR="00AC4341">
        <w:t xml:space="preserve">the parties </w:t>
      </w:r>
      <w:r>
        <w:t>to pursue settlement discussions.</w:t>
      </w:r>
    </w:p>
    <w:p w14:paraId="10229A07" w14:textId="77777777" w:rsidR="007E3131" w:rsidRDefault="00892FCA" w:rsidP="007760F2">
      <w:pPr>
        <w:pStyle w:val="OrderingParagraph"/>
        <w:tabs>
          <w:tab w:val="clear" w:pos="720"/>
        </w:tabs>
      </w:pPr>
      <w:r>
        <w:t>SOAH Order No. 11 held that the parties must file a status report by August 2, 2024, and every two weeks thereafter.</w:t>
      </w:r>
    </w:p>
    <w:p w14:paraId="1A7BB073" w14:textId="2BE0F519" w:rsidR="007E3131" w:rsidRDefault="00892FCA" w:rsidP="007760F2">
      <w:pPr>
        <w:pStyle w:val="OrderingParagraph"/>
        <w:tabs>
          <w:tab w:val="clear" w:pos="720"/>
        </w:tabs>
      </w:pPr>
      <w:r>
        <w:t>CenterPoint Houston filed a Notice of W</w:t>
      </w:r>
      <w:r w:rsidR="00104DDB">
        <w:t>i</w:t>
      </w:r>
      <w:r>
        <w:t>thdrawal of its application in this case on August 1, 2024. In SOAH Order No. 14 issued on August 16, 2024, the ALJ denied CenterPoint Houston’s withdrawal.</w:t>
      </w:r>
    </w:p>
    <w:p w14:paraId="162CDE35" w14:textId="77777777" w:rsidR="007E3131" w:rsidRDefault="00892FCA" w:rsidP="007760F2">
      <w:pPr>
        <w:pStyle w:val="OrderingParagraph"/>
        <w:tabs>
          <w:tab w:val="clear" w:pos="720"/>
        </w:tabs>
      </w:pPr>
      <w:r>
        <w:lastRenderedPageBreak/>
        <w:t>On August 23, 2024, CenterPoint Houston filed an appeal of SOAH Order No. 14. On November 8, 2024, CenterPoint Houston withdrew its appeal of SOAH Order No. 14.</w:t>
      </w:r>
    </w:p>
    <w:p w14:paraId="64267322" w14:textId="5A0EB32B" w:rsidR="007E3131" w:rsidRDefault="00892FCA" w:rsidP="00E94DDA">
      <w:pPr>
        <w:pStyle w:val="Heading2"/>
      </w:pPr>
      <w:r>
        <w:t>Agreement</w:t>
      </w:r>
    </w:p>
    <w:p w14:paraId="1018177B" w14:textId="365CEB22" w:rsidR="0048000E" w:rsidRPr="003D27D1" w:rsidRDefault="00892FCA" w:rsidP="00B16DA1">
      <w:pPr>
        <w:pStyle w:val="OrderingParagraph"/>
        <w:tabs>
          <w:tab w:val="clear" w:pos="720"/>
        </w:tabs>
      </w:pPr>
      <w:r w:rsidRPr="003D27D1">
        <w:t xml:space="preserve">On </w:t>
      </w:r>
      <w:r w:rsidR="006171D8">
        <w:t>January 28, 2025</w:t>
      </w:r>
      <w:r w:rsidRPr="003D27D1">
        <w:t>, an unopposed stipulation and settlement agreement (</w:t>
      </w:r>
      <w:r w:rsidR="00007A57">
        <w:t>“</w:t>
      </w:r>
      <w:r w:rsidRPr="003D27D1">
        <w:t>Agreement</w:t>
      </w:r>
      <w:r w:rsidR="00007A57">
        <w:t>”</w:t>
      </w:r>
      <w:r w:rsidRPr="003D27D1">
        <w:t>) was filed by CenterPoint Houston.</w:t>
      </w:r>
    </w:p>
    <w:p w14:paraId="54609003" w14:textId="4D68E9B2" w:rsidR="0048000E" w:rsidRDefault="00892FCA" w:rsidP="007760F2">
      <w:pPr>
        <w:pStyle w:val="OrderingParagraph"/>
        <w:tabs>
          <w:tab w:val="clear" w:pos="720"/>
        </w:tabs>
      </w:pPr>
      <w:r w:rsidRPr="003D27D1">
        <w:t xml:space="preserve">The </w:t>
      </w:r>
      <w:r w:rsidR="007E3131">
        <w:t>signatories</w:t>
      </w:r>
      <w:r w:rsidRPr="003D27D1">
        <w:t xml:space="preserve"> to the Agreement are </w:t>
      </w:r>
      <w:r w:rsidR="006B603D">
        <w:t xml:space="preserve">CenterPoint Houston, the </w:t>
      </w:r>
      <w:r w:rsidR="00007A57">
        <w:t>Commission Staff</w:t>
      </w:r>
      <w:r w:rsidR="006B603D">
        <w:t>; HCOC; GCCC; TCUC</w:t>
      </w:r>
      <w:r w:rsidR="00007A57">
        <w:t xml:space="preserve"> </w:t>
      </w:r>
      <w:r w:rsidR="006B603D">
        <w:t>(collectively, with HCOC</w:t>
      </w:r>
      <w:r w:rsidR="00007A57">
        <w:t>,</w:t>
      </w:r>
      <w:r w:rsidR="006B603D">
        <w:t xml:space="preserve"> GCCC,</w:t>
      </w:r>
      <w:r w:rsidR="00007A57">
        <w:t xml:space="preserve"> and TCUC referred to as the</w:t>
      </w:r>
      <w:r w:rsidR="006B603D">
        <w:t xml:space="preserve"> “Cities”); TIEC</w:t>
      </w:r>
      <w:r w:rsidR="00007A57">
        <w:t xml:space="preserve">; </w:t>
      </w:r>
      <w:r w:rsidR="006B603D">
        <w:t xml:space="preserve">the REP Coalition; Walmart Inc; IBEW Local 66; </w:t>
      </w:r>
      <w:r w:rsidR="00007A57">
        <w:t>EDF</w:t>
      </w:r>
      <w:r w:rsidR="006B603D">
        <w:t>;</w:t>
      </w:r>
      <w:r w:rsidR="000267ED">
        <w:t xml:space="preserve"> </w:t>
      </w:r>
      <w:r w:rsidR="00640B8E">
        <w:t>OPUC;</w:t>
      </w:r>
      <w:r w:rsidR="006947FE">
        <w:t xml:space="preserve"> and</w:t>
      </w:r>
      <w:r w:rsidR="006B603D">
        <w:t xml:space="preserve"> </w:t>
      </w:r>
      <w:r w:rsidR="31C652DE">
        <w:t>S</w:t>
      </w:r>
      <w:r w:rsidR="3D727903">
        <w:t>PEER</w:t>
      </w:r>
      <w:r w:rsidRPr="003D27D1">
        <w:t>.</w:t>
      </w:r>
    </w:p>
    <w:p w14:paraId="71A2D275" w14:textId="5C120CAC" w:rsidR="00E94DDA" w:rsidRPr="003D27D1" w:rsidRDefault="00892FCA" w:rsidP="007760F2">
      <w:pPr>
        <w:pStyle w:val="OrderingParagraph"/>
        <w:tabs>
          <w:tab w:val="clear" w:pos="720"/>
        </w:tabs>
      </w:pPr>
      <w:r>
        <w:t>The signatories agreed that good cause exists to waive applicable rules and procedures to expedite the adoption of this Order</w:t>
      </w:r>
      <w:r w:rsidR="00511BFA">
        <w:t xml:space="preserve">, including but not limited to 16 TAC </w:t>
      </w:r>
      <w:r w:rsidR="00C34515">
        <w:t xml:space="preserve">§ </w:t>
      </w:r>
      <w:r w:rsidR="00511BFA">
        <w:t>22.35</w:t>
      </w:r>
      <w:r>
        <w:t>.</w:t>
      </w:r>
    </w:p>
    <w:p w14:paraId="1A62D0B0" w14:textId="3CDF8F92" w:rsidR="007F3A28" w:rsidRPr="003D27D1" w:rsidRDefault="00892FCA" w:rsidP="001F7699">
      <w:pPr>
        <w:pStyle w:val="Heading2"/>
      </w:pPr>
      <w:r>
        <w:t xml:space="preserve">Agreement – </w:t>
      </w:r>
      <w:r w:rsidR="005D1162" w:rsidRPr="003D27D1">
        <w:t>Overall Revenues</w:t>
      </w:r>
      <w:r>
        <w:t>, Effective Date, and Allocation of Revenue Requirement</w:t>
      </w:r>
    </w:p>
    <w:p w14:paraId="1E13D118" w14:textId="720D868E" w:rsidR="00B04D11" w:rsidRPr="003D27D1" w:rsidRDefault="00892FCA" w:rsidP="007760F2">
      <w:pPr>
        <w:pStyle w:val="OrderingParagraph"/>
        <w:tabs>
          <w:tab w:val="clear" w:pos="720"/>
        </w:tabs>
      </w:pPr>
      <w:r w:rsidRPr="003D27D1">
        <w:t xml:space="preserve">The signatories </w:t>
      </w:r>
      <w:r w:rsidR="00881A8C" w:rsidRPr="003D27D1">
        <w:t xml:space="preserve">agreed that CenterPoint Houston’s </w:t>
      </w:r>
      <w:r w:rsidR="001F7699">
        <w:t xml:space="preserve">present wholesale and retail revenues of $2.305 billion should be decreased by </w:t>
      </w:r>
      <w:r w:rsidR="001F7699" w:rsidRPr="008831F4">
        <w:t>$</w:t>
      </w:r>
      <w:r w:rsidR="00B53B72" w:rsidRPr="008831F4">
        <w:t>44</w:t>
      </w:r>
      <w:r w:rsidR="00B53B72" w:rsidRPr="00B53B72">
        <w:t>,153,511.</w:t>
      </w:r>
      <w:r w:rsidR="00B53B72" w:rsidRPr="008831F4">
        <w:t>40</w:t>
      </w:r>
      <w:r w:rsidR="001F7699" w:rsidRPr="008831F4">
        <w:t>,</w:t>
      </w:r>
      <w:r w:rsidR="001F7699">
        <w:t xml:space="preserve"> plus an additional explicit reduction of </w:t>
      </w:r>
      <w:r w:rsidR="001F7699" w:rsidRPr="008831F4">
        <w:t>$2,424,013</w:t>
      </w:r>
      <w:r w:rsidR="001F7699">
        <w:t xml:space="preserve"> to remove C</w:t>
      </w:r>
      <w:r w:rsidR="007573B8">
        <w:t xml:space="preserve">hief </w:t>
      </w:r>
      <w:r w:rsidR="001F7699">
        <w:t>E</w:t>
      </w:r>
      <w:r w:rsidR="007573B8">
        <w:t xml:space="preserve">xecutive </w:t>
      </w:r>
      <w:r w:rsidR="001F7699">
        <w:t>O</w:t>
      </w:r>
      <w:r w:rsidR="007573B8">
        <w:t>fficer</w:t>
      </w:r>
      <w:r w:rsidR="001F7699">
        <w:t xml:space="preserve"> compensation expense</w:t>
      </w:r>
      <w:r w:rsidR="00FE4F34">
        <w:t xml:space="preserve">, </w:t>
      </w:r>
      <w:r w:rsidR="00751AB2">
        <w:t xml:space="preserve">for </w:t>
      </w:r>
      <w:r w:rsidR="004D4DD7">
        <w:t xml:space="preserve">a total reduction of </w:t>
      </w:r>
      <w:r w:rsidR="3D70BB19" w:rsidRPr="008831F4">
        <w:t>$</w:t>
      </w:r>
      <w:r w:rsidR="43A88BBA" w:rsidRPr="008831F4">
        <w:t>46</w:t>
      </w:r>
      <w:r w:rsidR="43A88BBA" w:rsidRPr="00A5293A">
        <w:t>,</w:t>
      </w:r>
      <w:r w:rsidR="00A5293A" w:rsidRPr="00A5293A">
        <w:t>577,524.</w:t>
      </w:r>
      <w:r w:rsidR="00A5293A" w:rsidRPr="008831F4">
        <w:t>40</w:t>
      </w:r>
      <w:r w:rsidR="004D4DD7" w:rsidRPr="008831F4">
        <w:t>,</w:t>
      </w:r>
      <w:r w:rsidR="004D4DD7">
        <w:t xml:space="preserve"> </w:t>
      </w:r>
      <w:r w:rsidR="00FE4F34">
        <w:t>as set out in Exhibit A to the Agreement</w:t>
      </w:r>
      <w:r w:rsidR="001F7699" w:rsidRPr="008831F4">
        <w:t>.</w:t>
      </w:r>
    </w:p>
    <w:p w14:paraId="087CB5DD" w14:textId="6442F9E8" w:rsidR="00881A8C" w:rsidRDefault="00892FCA" w:rsidP="007760F2">
      <w:pPr>
        <w:pStyle w:val="OrderingParagraph"/>
        <w:tabs>
          <w:tab w:val="clear" w:pos="720"/>
        </w:tabs>
      </w:pPr>
      <w:r w:rsidRPr="003D27D1">
        <w:t xml:space="preserve">The </w:t>
      </w:r>
      <w:r w:rsidR="00007A57">
        <w:t xml:space="preserve">signatories agreed that </w:t>
      </w:r>
      <w:r w:rsidRPr="003D27D1">
        <w:t xml:space="preserve">approved rates </w:t>
      </w:r>
      <w:r w:rsidR="000D54FD">
        <w:t xml:space="preserve">will take effect </w:t>
      </w:r>
      <w:r w:rsidR="00B55864">
        <w:t xml:space="preserve">no earlier than </w:t>
      </w:r>
      <w:r w:rsidR="00360288">
        <w:t xml:space="preserve">the </w:t>
      </w:r>
      <w:r w:rsidR="002108AA">
        <w:t>4</w:t>
      </w:r>
      <w:r w:rsidR="00360288">
        <w:t>6</w:t>
      </w:r>
      <w:r w:rsidR="00360288" w:rsidRPr="005F5E17">
        <w:rPr>
          <w:vertAlign w:val="superscript"/>
        </w:rPr>
        <w:t>th</w:t>
      </w:r>
      <w:r w:rsidR="000D54FD">
        <w:t xml:space="preserve"> day after the date of the Commission’s final order approving the rates. </w:t>
      </w:r>
    </w:p>
    <w:p w14:paraId="0159CF0F" w14:textId="6C8F819C" w:rsidR="00007A57" w:rsidRDefault="00892FCA" w:rsidP="007760F2">
      <w:pPr>
        <w:pStyle w:val="OrderingParagraph"/>
        <w:tabs>
          <w:tab w:val="clear" w:pos="720"/>
        </w:tabs>
      </w:pPr>
      <w:r>
        <w:t xml:space="preserve">The signatories agreed that the agreed-upon revenue requirement be allocated </w:t>
      </w:r>
      <w:r w:rsidR="6272408B">
        <w:t>as follows: $</w:t>
      </w:r>
      <w:r w:rsidR="00DE13FF" w:rsidRPr="00DE13FF">
        <w:t>653,511.40</w:t>
      </w:r>
      <w:r w:rsidR="6272408B">
        <w:t xml:space="preserve"> will be directly allocated to the retail transmission customer class, and the remaining value, $45,924,013, </w:t>
      </w:r>
      <w:r>
        <w:t xml:space="preserve">be allocated among retail customer classes and wholesale transmission such that each retail customer class and wholesale transmission receives the same percentage decrease from </w:t>
      </w:r>
      <w:r w:rsidR="00457002">
        <w:t xml:space="preserve">the revenue </w:t>
      </w:r>
      <w:r w:rsidR="00154AC8">
        <w:t>collected from</w:t>
      </w:r>
      <w:r>
        <w:t xml:space="preserve"> present rates as </w:t>
      </w:r>
      <w:r w:rsidR="00FE4F34">
        <w:t>set out in Exhibit B to the Agreement</w:t>
      </w:r>
      <w:r>
        <w:t xml:space="preserve">. </w:t>
      </w:r>
      <w:r w:rsidR="00DA321A">
        <w:t xml:space="preserve">For each retail customer class, CenterPoint Houston’s proposed customer and </w:t>
      </w:r>
      <w:r w:rsidR="00CE70D5">
        <w:t xml:space="preserve">meter charges will be adopted. The distribution charge for each class will be designed so that the total revenue collected from the class’s </w:t>
      </w:r>
      <w:r w:rsidR="00CE70D5">
        <w:lastRenderedPageBreak/>
        <w:t>customer, meter, and distribution charges would reflect the total revenue reduction allocated to that class as set forth in Exhibit B</w:t>
      </w:r>
      <w:r w:rsidR="004C6BE3">
        <w:t>.</w:t>
      </w:r>
    </w:p>
    <w:p w14:paraId="12E90D2B" w14:textId="7933F9B0" w:rsidR="00007A57" w:rsidRDefault="00892FCA" w:rsidP="007760F2">
      <w:pPr>
        <w:pStyle w:val="OrderingParagraph"/>
        <w:tabs>
          <w:tab w:val="clear" w:pos="720"/>
        </w:tabs>
      </w:pPr>
      <w:r>
        <w:t>The revenues produced by the rates approved in this Order will provide CenterPoint Houston with revenues sufficient to cover its expenses and provide CenterPoint Houston a reasonable opportunity to earn a reasonable return.</w:t>
      </w:r>
    </w:p>
    <w:p w14:paraId="74F6F6BE" w14:textId="1D383C2F" w:rsidR="00007A57" w:rsidRDefault="00892FCA" w:rsidP="007760F2">
      <w:pPr>
        <w:pStyle w:val="OrderingParagraph"/>
        <w:tabs>
          <w:tab w:val="clear" w:pos="720"/>
        </w:tabs>
      </w:pPr>
      <w:r>
        <w:t>The Agreement’s treatment of revenue requirement, effective date, and allocation issues is appropriate.</w:t>
      </w:r>
    </w:p>
    <w:p w14:paraId="1DE46BAD" w14:textId="6134DA03" w:rsidR="00FD4A34" w:rsidRPr="003D27D1" w:rsidRDefault="00892FCA" w:rsidP="001F7699">
      <w:pPr>
        <w:pStyle w:val="Heading2"/>
      </w:pPr>
      <w:r>
        <w:t xml:space="preserve">Agreement – </w:t>
      </w:r>
      <w:r w:rsidR="005D1162" w:rsidRPr="003D27D1">
        <w:t>Return and Capital Structure</w:t>
      </w:r>
    </w:p>
    <w:p w14:paraId="34108E9D" w14:textId="39833073" w:rsidR="000F2647" w:rsidRPr="003D27D1" w:rsidRDefault="00892FCA" w:rsidP="00B16DA1">
      <w:pPr>
        <w:pStyle w:val="OrderingParagraph"/>
        <w:tabs>
          <w:tab w:val="clear" w:pos="720"/>
        </w:tabs>
      </w:pPr>
      <w:r w:rsidRPr="003D27D1">
        <w:t xml:space="preserve">The </w:t>
      </w:r>
      <w:r w:rsidR="00881A8C" w:rsidRPr="003D27D1">
        <w:t>s</w:t>
      </w:r>
      <w:r w:rsidRPr="003D27D1">
        <w:t>ignatories agree</w:t>
      </w:r>
      <w:r w:rsidR="00881A8C" w:rsidRPr="003D27D1">
        <w:t>d</w:t>
      </w:r>
      <w:r w:rsidRPr="003D27D1">
        <w:t xml:space="preserve"> that b</w:t>
      </w:r>
      <w:r w:rsidR="00FC22FE" w:rsidRPr="003D27D1">
        <w:t>eginning with the effective date of the new rates authorized in this proceeding</w:t>
      </w:r>
      <w:r w:rsidR="00007A57">
        <w:t>,</w:t>
      </w:r>
      <w:r w:rsidR="00FC22FE" w:rsidRPr="003D27D1">
        <w:t xml:space="preserve"> CenterPoint Houston’s </w:t>
      </w:r>
      <w:r w:rsidRPr="003D27D1">
        <w:t>weighted average cost of capital (</w:t>
      </w:r>
      <w:r w:rsidR="00007A57">
        <w:t>“</w:t>
      </w:r>
      <w:r w:rsidRPr="003D27D1">
        <w:t>WACC</w:t>
      </w:r>
      <w:r w:rsidR="00007A57">
        <w:t>”</w:t>
      </w:r>
      <w:r w:rsidRPr="003D27D1">
        <w:t>)</w:t>
      </w:r>
      <w:r w:rsidR="00FC22FE" w:rsidRPr="003D27D1">
        <w:t xml:space="preserve"> shall be </w:t>
      </w:r>
      <w:r w:rsidR="00FF1F24" w:rsidRPr="00CA53C7">
        <w:t>6.606</w:t>
      </w:r>
      <w:r w:rsidR="00FC22FE" w:rsidRPr="00CA53C7">
        <w:t>%</w:t>
      </w:r>
      <w:r w:rsidR="00FC22FE" w:rsidRPr="003D27D1">
        <w:t xml:space="preserve"> based upon </w:t>
      </w:r>
      <w:r w:rsidR="00122182">
        <w:t xml:space="preserve">an </w:t>
      </w:r>
      <w:r w:rsidR="00E01F54">
        <w:t>as filed</w:t>
      </w:r>
      <w:r w:rsidR="00FC22FE" w:rsidRPr="003D27D1">
        <w:t xml:space="preserve"> </w:t>
      </w:r>
      <w:r w:rsidR="00FC22FE" w:rsidRPr="00CA53C7">
        <w:t>4.</w:t>
      </w:r>
      <w:r w:rsidR="000D54FD" w:rsidRPr="00CA53C7">
        <w:t>29</w:t>
      </w:r>
      <w:r w:rsidR="00FC22FE" w:rsidRPr="00CA53C7">
        <w:t>%</w:t>
      </w:r>
      <w:r w:rsidR="00FC22FE" w:rsidRPr="003D27D1">
        <w:t xml:space="preserve"> </w:t>
      </w:r>
      <w:r w:rsidRPr="003D27D1">
        <w:t>c</w:t>
      </w:r>
      <w:r w:rsidR="00FC22FE" w:rsidRPr="003D27D1">
        <w:t xml:space="preserve">ost of </w:t>
      </w:r>
      <w:r w:rsidRPr="003D27D1">
        <w:t>d</w:t>
      </w:r>
      <w:r w:rsidR="00FC22FE" w:rsidRPr="003D27D1">
        <w:t xml:space="preserve">ebt, an </w:t>
      </w:r>
      <w:r w:rsidR="00C4041B">
        <w:t>agreed</w:t>
      </w:r>
      <w:r w:rsidR="00FC22FE" w:rsidRPr="003D27D1">
        <w:t xml:space="preserve"> </w:t>
      </w:r>
      <w:r w:rsidRPr="003D27D1">
        <w:t>r</w:t>
      </w:r>
      <w:r w:rsidR="00FC22FE" w:rsidRPr="003D27D1">
        <w:t xml:space="preserve">eturn on </w:t>
      </w:r>
      <w:r w:rsidRPr="003D27D1">
        <w:t>e</w:t>
      </w:r>
      <w:r w:rsidR="00FC22FE" w:rsidRPr="003D27D1">
        <w:t>quity (</w:t>
      </w:r>
      <w:r w:rsidR="00007A57">
        <w:t>“</w:t>
      </w:r>
      <w:r w:rsidR="00FC22FE" w:rsidRPr="003D27D1">
        <w:t>ROE</w:t>
      </w:r>
      <w:r w:rsidR="00007A57">
        <w:t>”</w:t>
      </w:r>
      <w:r w:rsidR="00FC22FE" w:rsidRPr="003D27D1">
        <w:t xml:space="preserve">) of </w:t>
      </w:r>
      <w:r w:rsidR="000D54FD" w:rsidRPr="00CA53C7">
        <w:t>9.</w:t>
      </w:r>
      <w:r w:rsidR="4029F683" w:rsidRPr="00CA53C7">
        <w:t>65</w:t>
      </w:r>
      <w:r w:rsidR="00FC22FE" w:rsidRPr="003D27D1">
        <w:t>%, and an a</w:t>
      </w:r>
      <w:r w:rsidR="00C4041B">
        <w:t>greed</w:t>
      </w:r>
      <w:r w:rsidR="00FC22FE" w:rsidRPr="003D27D1">
        <w:t xml:space="preserve"> regulatory capital structure of </w:t>
      </w:r>
      <w:r w:rsidR="000D54FD" w:rsidRPr="00CA53C7">
        <w:t>56.</w:t>
      </w:r>
      <w:r w:rsidR="76458F71" w:rsidRPr="00CA53C7">
        <w:t>7</w:t>
      </w:r>
      <w:r w:rsidR="462F301D" w:rsidRPr="00CA53C7">
        <w:t>5</w:t>
      </w:r>
      <w:r w:rsidR="00FC22FE" w:rsidRPr="00CA53C7">
        <w:t>%</w:t>
      </w:r>
      <w:r w:rsidR="00FC22FE" w:rsidRPr="003D27D1">
        <w:t xml:space="preserve"> long-term debt and </w:t>
      </w:r>
      <w:r w:rsidR="000D54FD" w:rsidRPr="00CA53C7">
        <w:t>43.</w:t>
      </w:r>
      <w:r w:rsidR="13B296B3" w:rsidRPr="00CA53C7">
        <w:t>2</w:t>
      </w:r>
      <w:r w:rsidR="7FACDB3A" w:rsidRPr="00CA53C7">
        <w:t>5</w:t>
      </w:r>
      <w:r w:rsidR="00FC22FE" w:rsidRPr="00CA53C7">
        <w:t>%</w:t>
      </w:r>
      <w:r w:rsidR="00FC22FE" w:rsidRPr="003D27D1">
        <w:t xml:space="preserve"> equity</w:t>
      </w:r>
      <w:r w:rsidR="00CA1924">
        <w:t>,</w:t>
      </w:r>
      <w:r w:rsidR="0090363A">
        <w:t xml:space="preserve"> as set out in Exhibit K to the Agreement</w:t>
      </w:r>
      <w:r w:rsidR="00FC22FE" w:rsidRPr="003D27D1">
        <w:t>.</w:t>
      </w:r>
    </w:p>
    <w:p w14:paraId="1D634922" w14:textId="4C98A784" w:rsidR="00FD1ACD" w:rsidRPr="003D27D1" w:rsidRDefault="00892FCA" w:rsidP="007760F2">
      <w:pPr>
        <w:pStyle w:val="OrderingParagraph"/>
        <w:tabs>
          <w:tab w:val="clear" w:pos="720"/>
        </w:tabs>
      </w:pPr>
      <w:r>
        <w:t>The agreed return on equity, cost of debt, capital structure, and resulting WACC are reasonable and appropriate.</w:t>
      </w:r>
    </w:p>
    <w:p w14:paraId="1E482A9E" w14:textId="2A536EE3" w:rsidR="00FD4A34" w:rsidRPr="003D27D1" w:rsidRDefault="00892FCA" w:rsidP="007760F2">
      <w:pPr>
        <w:pStyle w:val="OrderingParagraph"/>
        <w:tabs>
          <w:tab w:val="clear" w:pos="720"/>
        </w:tabs>
      </w:pPr>
      <w:r w:rsidRPr="003D27D1">
        <w:t xml:space="preserve">The signatories agreed that the agreed-upon </w:t>
      </w:r>
      <w:r w:rsidR="00FD1ACD">
        <w:t>WACC</w:t>
      </w:r>
      <w:r w:rsidRPr="003D27D1">
        <w:t xml:space="preserve">, cost of debt, return on equity, and capital structure of CenterPoint Houston would apply in all Commission </w:t>
      </w:r>
      <w:r>
        <w:t>proceeding</w:t>
      </w:r>
      <w:r w:rsidR="50672D62">
        <w:t>s</w:t>
      </w:r>
      <w:r w:rsidRPr="003D27D1">
        <w:t xml:space="preserve"> or Commission filings requiring application of such items.</w:t>
      </w:r>
    </w:p>
    <w:p w14:paraId="4258B126" w14:textId="3F6ECC5A" w:rsidR="00FD4A34" w:rsidRPr="003D27D1" w:rsidRDefault="00892FCA" w:rsidP="007760F2">
      <w:pPr>
        <w:pStyle w:val="OrderingParagraph"/>
        <w:tabs>
          <w:tab w:val="clear" w:pos="720"/>
        </w:tabs>
      </w:pPr>
      <w:r>
        <w:t>T</w:t>
      </w:r>
      <w:r w:rsidR="005D1162" w:rsidRPr="003D27D1">
        <w:t xml:space="preserve">he agreed-upon </w:t>
      </w:r>
      <w:r>
        <w:t>WACC</w:t>
      </w:r>
      <w:r w:rsidR="005D1162" w:rsidRPr="003D27D1">
        <w:t xml:space="preserve">, cost of debt, return </w:t>
      </w:r>
      <w:r w:rsidR="006572FA" w:rsidRPr="003D27D1">
        <w:t>on equity, and capital structure for CenterPoint Houston to apply in all Commission proceedings or Commission filings requiring application of such items</w:t>
      </w:r>
      <w:r>
        <w:t xml:space="preserve"> is appropriate</w:t>
      </w:r>
      <w:r w:rsidR="006572FA" w:rsidRPr="003D27D1">
        <w:t>.</w:t>
      </w:r>
    </w:p>
    <w:p w14:paraId="4417097B" w14:textId="10EEE142" w:rsidR="001F7699" w:rsidRDefault="00892FCA" w:rsidP="001F7699">
      <w:pPr>
        <w:pStyle w:val="Heading2"/>
      </w:pPr>
      <w:r>
        <w:t xml:space="preserve">Agreement – </w:t>
      </w:r>
      <w:r w:rsidR="005D1162">
        <w:t>Cash Working Capital</w:t>
      </w:r>
    </w:p>
    <w:p w14:paraId="3510267B" w14:textId="78E676B4" w:rsidR="001F7699" w:rsidRDefault="00892FCA" w:rsidP="007760F2">
      <w:pPr>
        <w:pStyle w:val="OrderingParagraph"/>
        <w:tabs>
          <w:tab w:val="clear" w:pos="720"/>
        </w:tabs>
      </w:pPr>
      <w:r>
        <w:t>The signatories agreed that CenterPoint Houston’s CWC should be reduced by $5,180,289 from the amount proposed in Schedule II-B-9, for a total CWC amount of $6,988,071.</w:t>
      </w:r>
    </w:p>
    <w:p w14:paraId="1893489D" w14:textId="6F381D36" w:rsidR="003E25F0" w:rsidRDefault="00892FCA" w:rsidP="007760F2">
      <w:pPr>
        <w:pStyle w:val="OrderingParagraph"/>
        <w:tabs>
          <w:tab w:val="clear" w:pos="720"/>
        </w:tabs>
      </w:pPr>
      <w:r>
        <w:t xml:space="preserve">The Agreement’s treatment of </w:t>
      </w:r>
      <w:r w:rsidR="005D1162">
        <w:t xml:space="preserve">CWC </w:t>
      </w:r>
      <w:r>
        <w:t>is appropriate</w:t>
      </w:r>
      <w:r w:rsidR="005D1162">
        <w:t>.</w:t>
      </w:r>
    </w:p>
    <w:p w14:paraId="7022CE4C" w14:textId="0DD5E743" w:rsidR="001F7699" w:rsidRDefault="00892FCA" w:rsidP="001F7699">
      <w:pPr>
        <w:pStyle w:val="Heading2"/>
      </w:pPr>
      <w:r>
        <w:lastRenderedPageBreak/>
        <w:t xml:space="preserve">Agreement – </w:t>
      </w:r>
      <w:r w:rsidR="005D1162">
        <w:t>Approval of Tariffs and Customer Agreements</w:t>
      </w:r>
    </w:p>
    <w:p w14:paraId="5BACB110" w14:textId="26BA5994" w:rsidR="001F7699" w:rsidRDefault="00892FCA" w:rsidP="007760F2">
      <w:pPr>
        <w:pStyle w:val="OrderingParagraph"/>
        <w:tabs>
          <w:tab w:val="clear" w:pos="720"/>
        </w:tabs>
      </w:pPr>
      <w:r>
        <w:t xml:space="preserve">CenterPoint Houston’s requested tariffs and customer agreements, as modified by </w:t>
      </w:r>
      <w:r w:rsidR="0055075B">
        <w:t>the parties’ Agreement</w:t>
      </w:r>
      <w:r w:rsidR="001815ED">
        <w:t xml:space="preserve"> and set out in Exhibit C to the Agreement</w:t>
      </w:r>
      <w:r w:rsidR="0055075B">
        <w:t>, are appropriate</w:t>
      </w:r>
      <w:r>
        <w:t>.</w:t>
      </w:r>
    </w:p>
    <w:p w14:paraId="7F035419" w14:textId="548BEE8A" w:rsidR="26E88617" w:rsidRDefault="26E88617" w:rsidP="007760F2">
      <w:pPr>
        <w:pStyle w:val="OrderingParagraph"/>
        <w:tabs>
          <w:tab w:val="clear" w:pos="720"/>
        </w:tabs>
      </w:pPr>
      <w:r>
        <w:t>The signatories agreed that CenterPoint Houston will add the following language at the end of paragraph 1 of Section 6.3.4.2 of its tariff: “Retail Customer A and Retail Customer B may be the same person or legal entity.”</w:t>
      </w:r>
    </w:p>
    <w:p w14:paraId="2AAD237B" w14:textId="7F8DECA1" w:rsidR="26E88617" w:rsidRDefault="26E88617" w:rsidP="007760F2">
      <w:pPr>
        <w:pStyle w:val="OrderingParagraph"/>
        <w:tabs>
          <w:tab w:val="clear" w:pos="720"/>
        </w:tabs>
      </w:pPr>
      <w:r>
        <w:t>The Agreement’s treatment of paragraph 1 of Section 6.3.4.2 of CenterPoint Houston’s tariff is appropriate.</w:t>
      </w:r>
      <w:r w:rsidR="7942D7AE">
        <w:t xml:space="preserve"> </w:t>
      </w:r>
    </w:p>
    <w:p w14:paraId="390A1DB0" w14:textId="6955B43C" w:rsidR="7942D7AE" w:rsidRDefault="7942D7AE" w:rsidP="007760F2">
      <w:pPr>
        <w:pStyle w:val="OrderingParagraph"/>
        <w:tabs>
          <w:tab w:val="clear" w:pos="720"/>
        </w:tabs>
      </w:pPr>
      <w:r>
        <w:t>The signatories agreed that CenterPoint Houston shall include the following language in its Tariff for Retail Delivery Service at Section 6.1.2.2 Construction Services Policy and Charges, Subsection 2.3 Transmission Voltage Facility Extensions, set forth in Exhibit C to the Agreement: “If the Company is reimbursed more than $10,000,000 (including all applicable tax gross-up) by a Customer with respect to a transmission interconnection project, and more transmission customers are served by any or all of the facilities constructed pursuant to that reimbursement within a five-year period following the date in which any equipment is energized by the Company, then the initial Customer that reimbursed the Company shall be entitled to receive a prorated refund of the reimbursement for common facilities when the additional transmission customers execute an agreement for electric service within the five-year period described above. After payment is received from the additional transmission customer(s), a refund of reimbursement for common facilities to the initial Customer will be made on a pro-rata share of the amount initially paid by the initial Customer.”</w:t>
      </w:r>
    </w:p>
    <w:p w14:paraId="284B808D" w14:textId="3D80486D" w:rsidR="7942D7AE" w:rsidRDefault="7942D7AE" w:rsidP="007760F2">
      <w:pPr>
        <w:pStyle w:val="OrderingParagraph"/>
        <w:tabs>
          <w:tab w:val="clear" w:pos="720"/>
        </w:tabs>
      </w:pPr>
      <w:r>
        <w:t xml:space="preserve">It is appropriate that CenterPoint Houston include the language in Finding of Fact </w:t>
      </w:r>
      <w:r w:rsidR="2F8E135F" w:rsidRPr="00F25BA6">
        <w:t>70</w:t>
      </w:r>
      <w:r>
        <w:t xml:space="preserve"> in its Tariff for Retail Delivery Service at Section 6.1.2.2 Construction Services Policy and Charges, Subsection 2.3 Transmission Voltage Facility Extensions.</w:t>
      </w:r>
    </w:p>
    <w:p w14:paraId="1DFA0F7C" w14:textId="56F4E333" w:rsidR="212FBD2B" w:rsidRDefault="212FBD2B" w:rsidP="007760F2">
      <w:pPr>
        <w:pStyle w:val="OrderingParagraph"/>
        <w:tabs>
          <w:tab w:val="clear" w:pos="720"/>
        </w:tabs>
      </w:pPr>
      <w:r>
        <w:t>The signatories agreed not to include the charges for load studies and stability studies from the Terms of Service for CenterPoint Houston’s Transmission Service rate schedule, as set out in Exhibit C to the Agreement.</w:t>
      </w:r>
    </w:p>
    <w:p w14:paraId="502E4CF1" w14:textId="269FB81C" w:rsidR="212FBD2B" w:rsidRDefault="212FBD2B" w:rsidP="007760F2">
      <w:pPr>
        <w:pStyle w:val="OrderingParagraph"/>
        <w:tabs>
          <w:tab w:val="clear" w:pos="720"/>
        </w:tabs>
      </w:pPr>
      <w:r>
        <w:lastRenderedPageBreak/>
        <w:t>The Agreement’s exclusion of charges for load studies and stability studies from the Terms of Service for its Transmission Service rate schedule is appropriate.</w:t>
      </w:r>
    </w:p>
    <w:p w14:paraId="7D79F249" w14:textId="5FBD5892" w:rsidR="212FBD2B" w:rsidRDefault="212FBD2B" w:rsidP="007760F2">
      <w:pPr>
        <w:pStyle w:val="OrderingParagraph"/>
        <w:tabs>
          <w:tab w:val="clear" w:pos="720"/>
        </w:tabs>
      </w:pPr>
      <w:r>
        <w:t>The signatories agreed that CenterPoint Houston shall update the current interim rates for Wholesale Distribution Service set out in Section 4.2 of CenterPoint Houston’s Tariff for Wholesale Delivery Service (established in Docket No. 53606) to reflect the Primary Service rates approved in this proceeding, as set out in Exhibit C to the Agreement. For the avoidance of doubt, the</w:t>
      </w:r>
      <w:r w:rsidR="006B04DA">
        <w:t xml:space="preserve"> </w:t>
      </w:r>
      <w:r w:rsidR="006B04DA" w:rsidRPr="006B04DA">
        <w:t>distribution charge developed under the total revenue requirement for the Primary Service class as set out in Exhibit C that reflects the</w:t>
      </w:r>
      <w:r>
        <w:t xml:space="preserve"> revenue requirement reduction agreed to by the signatories will also be applied to the Wholesale Delivery Service class’s distribution charge.</w:t>
      </w:r>
    </w:p>
    <w:p w14:paraId="342D0811" w14:textId="759B14A9" w:rsidR="212FBD2B" w:rsidRDefault="212FBD2B" w:rsidP="007760F2">
      <w:pPr>
        <w:pStyle w:val="OrderingParagraph"/>
        <w:tabs>
          <w:tab w:val="clear" w:pos="720"/>
        </w:tabs>
      </w:pPr>
      <w:r>
        <w:t>The signatories agreed that the rates adopted in Docket No. 53606 and updated in this proceeding are adopted on an interim basis and are subject to refund or surcharge to the extent appropriate based on the resolution of Project No. 54224. All parties retained the right to take any position in Project No. 54224.</w:t>
      </w:r>
    </w:p>
    <w:p w14:paraId="160B4B6C" w14:textId="6D6FC922" w:rsidR="212FBD2B" w:rsidRDefault="212FBD2B" w:rsidP="007760F2">
      <w:pPr>
        <w:pStyle w:val="OrderingParagraph"/>
        <w:tabs>
          <w:tab w:val="clear" w:pos="720"/>
        </w:tabs>
      </w:pPr>
      <w:r>
        <w:t>It is appropriate that CenterPoint Houston update the current interim rates for Wholesale Distribution Service and establish new interim rates that reflect the Primary Service rates approved in this proceeding.</w:t>
      </w:r>
    </w:p>
    <w:p w14:paraId="23C17ADA" w14:textId="7307919D" w:rsidR="2BF5536D" w:rsidRDefault="2BF5536D" w:rsidP="007760F2">
      <w:pPr>
        <w:pStyle w:val="OrderingParagraph"/>
        <w:tabs>
          <w:tab w:val="clear" w:pos="720"/>
        </w:tabs>
      </w:pPr>
      <w:r>
        <w:t xml:space="preserve">The signatories agree that CenterPoint Houston’s requested </w:t>
      </w:r>
      <w:r w:rsidR="00CF0347">
        <w:t xml:space="preserve">retail </w:t>
      </w:r>
      <w:r>
        <w:t xml:space="preserve">Rider IRA, </w:t>
      </w:r>
      <w:r w:rsidR="00CB1F5A" w:rsidRPr="00CB1F5A">
        <w:t>Wholesale Service Rider WT IRA, and Wholesale Distribution Rider WD IRA</w:t>
      </w:r>
      <w:r>
        <w:t xml:space="preserve">, set out in Exhibit C to the Agreement, </w:t>
      </w:r>
      <w:r w:rsidR="00CB1F5A">
        <w:t>are</w:t>
      </w:r>
      <w:r>
        <w:t xml:space="preserve"> reasonable with the following condition: Only the return on corporate alternative minimum tax deferred tax assets arising to the extent CenterPoint Houston meets the definition of an applicable corporation based solely on its own stand-alone adjusted financial statement income (“AFSI”) without regard to the income of any affiliates, and calculated solely on that stand-alone AFSI will be collected in the Rider IRA</w:t>
      </w:r>
      <w:r w:rsidR="005D6E06">
        <w:t>s</w:t>
      </w:r>
      <w:r>
        <w:t xml:space="preserve"> between the date rates from this proceeding go into effect and the date rates from CenterPoint Houston’s next base rate case go into effect. </w:t>
      </w:r>
    </w:p>
    <w:p w14:paraId="5D6A17F9" w14:textId="3780DEF0" w:rsidR="2BF5536D" w:rsidRDefault="2BF5536D" w:rsidP="007760F2">
      <w:pPr>
        <w:pStyle w:val="OrderingParagraph"/>
        <w:tabs>
          <w:tab w:val="clear" w:pos="720"/>
        </w:tabs>
      </w:pPr>
      <w:r>
        <w:t>It is appropriate to adopt CenterPoint Houston’s requested Rider IRA</w:t>
      </w:r>
      <w:r w:rsidR="00E45EF2">
        <w:t>s</w:t>
      </w:r>
      <w:r>
        <w:t xml:space="preserve">, conditioned on the language in Finding of Fact </w:t>
      </w:r>
      <w:r w:rsidRPr="00F25BA6">
        <w:t>77.</w:t>
      </w:r>
    </w:p>
    <w:p w14:paraId="4303BEC4" w14:textId="5FAAC32B" w:rsidR="001F7699" w:rsidRDefault="00892FCA" w:rsidP="001F7699">
      <w:pPr>
        <w:pStyle w:val="Heading2"/>
      </w:pPr>
      <w:r>
        <w:lastRenderedPageBreak/>
        <w:t xml:space="preserve">Agreement – </w:t>
      </w:r>
      <w:r w:rsidR="005D1162">
        <w:t>Ring</w:t>
      </w:r>
      <w:r w:rsidR="0055075B">
        <w:t>f</w:t>
      </w:r>
      <w:r w:rsidR="005D1162">
        <w:t>encing</w:t>
      </w:r>
    </w:p>
    <w:p w14:paraId="0E12DBAE" w14:textId="094FB65C" w:rsidR="001F7699" w:rsidRDefault="00892FCA" w:rsidP="005A2E61">
      <w:pPr>
        <w:pStyle w:val="OrderingParagraph"/>
        <w:tabs>
          <w:tab w:val="clear" w:pos="720"/>
        </w:tabs>
      </w:pPr>
      <w:r>
        <w:t>The signatories agreed that the ringfencing provision set out in Ordering Paragraph No. 30 in the Final Order in Docket No. 49421 should be modified to read: “CenterPoint Houston must maintain registrations with Moody’s and S&amp;P ratings agencies.”</w:t>
      </w:r>
    </w:p>
    <w:p w14:paraId="04824C66" w14:textId="4C38EB41" w:rsidR="001F7699" w:rsidRDefault="00892FCA" w:rsidP="007760F2">
      <w:pPr>
        <w:pStyle w:val="OrderingParagraph"/>
        <w:tabs>
          <w:tab w:val="clear" w:pos="720"/>
        </w:tabs>
      </w:pPr>
      <w:r>
        <w:t>The signatories agreed that the ringfencing provision set out in Ordering Paragraph No. 39 in the Final Order in Docket No. 49421</w:t>
      </w:r>
      <w:r w:rsidRPr="0055075B">
        <w:t xml:space="preserve"> </w:t>
      </w:r>
      <w:r>
        <w:t>should be modified to read: “CenterPoint Houston must notify the Commission if its credit issuer rating or corporate rating as rated by Moody’s or S&amp;P falls below investment-grade level.”</w:t>
      </w:r>
    </w:p>
    <w:p w14:paraId="6DD1EA42" w14:textId="399CFB57" w:rsidR="0055075B" w:rsidRDefault="00892FCA" w:rsidP="007760F2">
      <w:pPr>
        <w:pStyle w:val="OrderingParagraph"/>
        <w:tabs>
          <w:tab w:val="clear" w:pos="720"/>
        </w:tabs>
      </w:pPr>
      <w:r>
        <w:t xml:space="preserve">The signatories agreed </w:t>
      </w:r>
      <w:r w:rsidR="00B22034">
        <w:t>to the following additional ringfencing provision: “</w:t>
      </w:r>
      <w:r w:rsidR="001F7699">
        <w:t xml:space="preserve">CenterPoint Houston </w:t>
      </w:r>
      <w:r w:rsidR="00761AD9">
        <w:t xml:space="preserve">will </w:t>
      </w:r>
      <w:r w:rsidR="001F7699">
        <w:t>not seek to recover from customers any costs incurred as a result of a bankruptcy of CenterPoint Energy, Inc. or any of its affiliates other than CenterPoint Houston or caused by a bankruptcy of CenterPoint Houston.</w:t>
      </w:r>
      <w:r w:rsidR="00C330BF">
        <w:t>”</w:t>
      </w:r>
    </w:p>
    <w:p w14:paraId="0DA1799F" w14:textId="5EA06F1E" w:rsidR="001F7699" w:rsidRDefault="00892FCA" w:rsidP="007760F2">
      <w:pPr>
        <w:pStyle w:val="OrderingParagraph"/>
        <w:tabs>
          <w:tab w:val="clear" w:pos="720"/>
        </w:tabs>
      </w:pPr>
      <w:r>
        <w:t xml:space="preserve">The signatories agreed </w:t>
      </w:r>
      <w:r w:rsidR="00C330BF">
        <w:t>to the following additional ringfencing provision: “</w:t>
      </w:r>
      <w:r w:rsidR="00093AF8">
        <w:t>N</w:t>
      </w:r>
      <w:r>
        <w:t>o CenterPoint Houston assets may be pledged for or used to secure the debt of other entities.</w:t>
      </w:r>
      <w:r w:rsidR="009D7DA7">
        <w:t>”</w:t>
      </w:r>
    </w:p>
    <w:p w14:paraId="04305548" w14:textId="22647CFC" w:rsidR="0055075B" w:rsidRDefault="00892FCA" w:rsidP="007760F2">
      <w:pPr>
        <w:pStyle w:val="OrderingParagraph"/>
        <w:tabs>
          <w:tab w:val="clear" w:pos="720"/>
        </w:tabs>
      </w:pPr>
      <w:r>
        <w:t xml:space="preserve">The Agreement’s modification of </w:t>
      </w:r>
      <w:r w:rsidR="005D1162">
        <w:t>the</w:t>
      </w:r>
      <w:r>
        <w:t xml:space="preserve"> </w:t>
      </w:r>
      <w:r w:rsidR="005D1162">
        <w:t xml:space="preserve">ringfencing provisions </w:t>
      </w:r>
      <w:r>
        <w:t>is appropriate</w:t>
      </w:r>
      <w:r w:rsidR="005D1162">
        <w:t>.</w:t>
      </w:r>
    </w:p>
    <w:p w14:paraId="21FEE32C" w14:textId="3C1CDA17" w:rsidR="00410902" w:rsidRDefault="00892FCA" w:rsidP="00410902">
      <w:pPr>
        <w:pStyle w:val="Heading2"/>
      </w:pPr>
      <w:r>
        <w:t xml:space="preserve">Agreement – </w:t>
      </w:r>
      <w:r w:rsidR="005D1162">
        <w:t>Gross Plant in Service</w:t>
      </w:r>
    </w:p>
    <w:p w14:paraId="7D42567C" w14:textId="722B46AC" w:rsidR="0055075B" w:rsidRDefault="00892FCA" w:rsidP="007760F2">
      <w:pPr>
        <w:pStyle w:val="OrderingParagraph"/>
        <w:tabs>
          <w:tab w:val="clear" w:pos="720"/>
        </w:tabs>
      </w:pPr>
      <w:r>
        <w:t xml:space="preserve">The </w:t>
      </w:r>
      <w:r w:rsidR="00E068FA">
        <w:t xml:space="preserve">signatories </w:t>
      </w:r>
      <w:r>
        <w:t xml:space="preserve">agreed that </w:t>
      </w:r>
      <w:r w:rsidR="001F7699">
        <w:t xml:space="preserve">CenterPoint Houston’s requested gross plant in service of $17,795,166,166 through the end of the test year (December 31, 2023) shall be reduced by $10,000,000, as reflected on Exhibit </w:t>
      </w:r>
      <w:r w:rsidR="0099094F">
        <w:t xml:space="preserve">D </w:t>
      </w:r>
      <w:r w:rsidR="001F7699">
        <w:t>to th</w:t>
      </w:r>
      <w:r>
        <w:t>e</w:t>
      </w:r>
      <w:r w:rsidR="001F7699">
        <w:t xml:space="preserve"> Agreement, along with the associated impacts to accumulated depreciation and ADIT. </w:t>
      </w:r>
      <w:r w:rsidRPr="007E3131">
        <w:t xml:space="preserve">CenterPoint Houston will not seek recovery of, or a return on, the plant listed in Exhibit </w:t>
      </w:r>
      <w:r w:rsidR="0099094F">
        <w:t>D</w:t>
      </w:r>
      <w:r w:rsidRPr="007E3131">
        <w:t xml:space="preserve"> </w:t>
      </w:r>
      <w:r w:rsidR="007666B8" w:rsidRPr="007E3131">
        <w:t xml:space="preserve">to the Agreement </w:t>
      </w:r>
      <w:r w:rsidRPr="007E3131">
        <w:t>in any future proceeding.</w:t>
      </w:r>
      <w:r w:rsidR="7E8B29B7">
        <w:t xml:space="preserve"> </w:t>
      </w:r>
      <w:r w:rsidR="292248E4">
        <w:t>CenterPoint Houston will not be required to make a refund of any amounts associated with this disallowance.</w:t>
      </w:r>
    </w:p>
    <w:p w14:paraId="2A84FBBD" w14:textId="2395182F" w:rsidR="00380E02" w:rsidRDefault="00892FCA" w:rsidP="007760F2">
      <w:pPr>
        <w:pStyle w:val="OrderingParagraph"/>
        <w:tabs>
          <w:tab w:val="clear" w:pos="720"/>
        </w:tabs>
      </w:pPr>
      <w:r>
        <w:t>The remaining gross plant in service is prudent and properly included in rate base.</w:t>
      </w:r>
    </w:p>
    <w:p w14:paraId="06C38EE6" w14:textId="2C7E2537" w:rsidR="001F7699" w:rsidRDefault="00892FCA" w:rsidP="007760F2">
      <w:pPr>
        <w:pStyle w:val="OrderingParagraph"/>
        <w:tabs>
          <w:tab w:val="clear" w:pos="720"/>
        </w:tabs>
      </w:pPr>
      <w:r>
        <w:t>The Agreement’s treatment of gross plant in service is appropriate.</w:t>
      </w:r>
      <w:r w:rsidR="005D1162">
        <w:t xml:space="preserve">  </w:t>
      </w:r>
    </w:p>
    <w:p w14:paraId="0712D7CB" w14:textId="6864B3C6" w:rsidR="00410902" w:rsidRDefault="00892FCA" w:rsidP="00410902">
      <w:pPr>
        <w:pStyle w:val="Heading2"/>
      </w:pPr>
      <w:r>
        <w:lastRenderedPageBreak/>
        <w:t xml:space="preserve">Agreement – </w:t>
      </w:r>
      <w:r w:rsidR="005D1162">
        <w:t>Regulatory Assets and Liabilities</w:t>
      </w:r>
    </w:p>
    <w:p w14:paraId="01BBD3C2" w14:textId="1D904F1A" w:rsidR="004E560E" w:rsidRDefault="004E560E" w:rsidP="025D7552">
      <w:pPr>
        <w:pStyle w:val="OrderingParagraph"/>
        <w:tabs>
          <w:tab w:val="clear" w:pos="720"/>
        </w:tabs>
      </w:pPr>
      <w:r>
        <w:t xml:space="preserve">The signatories agreed that </w:t>
      </w:r>
      <w:r w:rsidR="00892FCA">
        <w:t>CenterPoint</w:t>
      </w:r>
      <w:r w:rsidR="70DE4309">
        <w:t xml:space="preserve"> Houston</w:t>
      </w:r>
      <w:r w:rsidR="00892FCA">
        <w:t>’s regulatory assets and liabilities at issue in this proceeding, all of which will be amortized over five years</w:t>
      </w:r>
      <w:r w:rsidR="00F5337E">
        <w:t xml:space="preserve"> beginning on the date rates take effect</w:t>
      </w:r>
      <w:r w:rsidR="4A6C8363">
        <w:t>,</w:t>
      </w:r>
      <w:r w:rsidR="00892FCA">
        <w:t xml:space="preserve"> are reasonable.</w:t>
      </w:r>
    </w:p>
    <w:p w14:paraId="1CB851EF" w14:textId="57DF6C0E" w:rsidR="050182A5" w:rsidRDefault="050182A5" w:rsidP="00BF15F8">
      <w:pPr>
        <w:pStyle w:val="OrderingParagraph"/>
        <w:tabs>
          <w:tab w:val="clear" w:pos="720"/>
        </w:tabs>
      </w:pPr>
      <w:r>
        <w:t xml:space="preserve">CenterPoint Houston shall prioritize recovery of carrying costs for </w:t>
      </w:r>
      <w:r w:rsidR="0036129D">
        <w:t>the following</w:t>
      </w:r>
      <w:r>
        <w:t xml:space="preserve"> regulatory assets, as shown on Schedule II-E-4.1.1, and amortize them based on the same priority</w:t>
      </w:r>
      <w:r w:rsidR="008A361D">
        <w:t xml:space="preserve">: </w:t>
      </w:r>
      <w:r w:rsidR="008A361D" w:rsidRPr="008A361D">
        <w:t>Hurricane Harvey as shown in Docket No. 49421; Hurricane Harvey Trailing Charges; Hurricane Laura; Hurricane Nicholas; Long Lead Time Facilities; Winter Storm Uri; Ike Residual; Ike Residual as shown in Docket No. 49421</w:t>
      </w:r>
      <w:r w:rsidR="008A361D">
        <w:t>.</w:t>
      </w:r>
      <w:r w:rsidR="000B1204">
        <w:t xml:space="preserve"> The prioritization is</w:t>
      </w:r>
      <w:r>
        <w:t xml:space="preserve"> as follows:</w:t>
      </w:r>
      <w:r w:rsidR="00115840">
        <w:t xml:space="preserve"> (1) </w:t>
      </w:r>
      <w:r>
        <w:t>Equity carrying costs;</w:t>
      </w:r>
      <w:r w:rsidR="00115840">
        <w:t xml:space="preserve"> (2) </w:t>
      </w:r>
      <w:r>
        <w:t>Debt carrying costs; and</w:t>
      </w:r>
      <w:r w:rsidR="00115840">
        <w:t xml:space="preserve"> (3) </w:t>
      </w:r>
      <w:r w:rsidR="0036129D">
        <w:t>a</w:t>
      </w:r>
      <w:r>
        <w:t>ll other costs.</w:t>
      </w:r>
    </w:p>
    <w:p w14:paraId="1C28BB7D" w14:textId="314143AE" w:rsidR="007F03C4" w:rsidRDefault="00115840" w:rsidP="007760F2">
      <w:pPr>
        <w:pStyle w:val="OrderingParagraph"/>
        <w:tabs>
          <w:tab w:val="clear" w:pos="720"/>
        </w:tabs>
      </w:pPr>
      <w:r>
        <w:t>T</w:t>
      </w:r>
      <w:r w:rsidR="007F03C4">
        <w:t>he Agreement’s treatment of regulatory assets and liabilities is appropriate.</w:t>
      </w:r>
    </w:p>
    <w:p w14:paraId="1D8A806C" w14:textId="2D61B7D6" w:rsidR="00410902" w:rsidRDefault="00892FCA" w:rsidP="00410902">
      <w:pPr>
        <w:pStyle w:val="Heading2"/>
      </w:pPr>
      <w:r>
        <w:t xml:space="preserve">Agreement – </w:t>
      </w:r>
      <w:r w:rsidR="005D1162">
        <w:t>Reimbursement of Rate Case Expenses</w:t>
      </w:r>
    </w:p>
    <w:p w14:paraId="15B4811C" w14:textId="0E83662E" w:rsidR="007666B8" w:rsidRDefault="00B70BA2" w:rsidP="007760F2">
      <w:pPr>
        <w:pStyle w:val="OrderingParagraph"/>
        <w:tabs>
          <w:tab w:val="clear" w:pos="720"/>
        </w:tabs>
      </w:pPr>
      <w:r>
        <w:t xml:space="preserve">The signatories agreed that </w:t>
      </w:r>
      <w:r w:rsidR="00892FCA">
        <w:t xml:space="preserve">CenterPoint Houston shall reimburse Cities for rate case expenses incurred through the completion of this proceeding within 30 days of a final order issuance or receipt of invoices, whichever is later.  </w:t>
      </w:r>
    </w:p>
    <w:p w14:paraId="568C567F" w14:textId="37F87011" w:rsidR="007666B8" w:rsidRDefault="00892FCA" w:rsidP="007760F2">
      <w:pPr>
        <w:pStyle w:val="OrderingParagraph"/>
        <w:tabs>
          <w:tab w:val="clear" w:pos="720"/>
        </w:tabs>
      </w:pPr>
      <w:r>
        <w:t xml:space="preserve">The </w:t>
      </w:r>
      <w:r w:rsidR="007E3131">
        <w:t>signatories</w:t>
      </w:r>
      <w:r w:rsidR="001F7699">
        <w:t xml:space="preserve"> agree</w:t>
      </w:r>
      <w:r>
        <w:t>d</w:t>
      </w:r>
      <w:r w:rsidR="001F7699">
        <w:t xml:space="preserve"> to a $145,000 reduction to </w:t>
      </w:r>
      <w:r>
        <w:t>CenterPoint Houston’s</w:t>
      </w:r>
      <w:r w:rsidR="001F7699">
        <w:t xml:space="preserve"> rate-case expenses as recommended in the Direct Testimony of Staff witness Vonetta Jackson. For expenses incurred after December 31, 2023, CenterPoint Houston </w:t>
      </w:r>
      <w:r>
        <w:t>shall</w:t>
      </w:r>
      <w:r w:rsidR="001F7699">
        <w:t xml:space="preserve"> apply an equivalent percentage of 16.4% to determine the reduction amount for those expenses. </w:t>
      </w:r>
      <w:r w:rsidR="00307B05">
        <w:t>Parties agree that Rider RCE is appropriate to use for recovery of CenterPoint Houston’s and Cities’ rate case expenses.</w:t>
      </w:r>
    </w:p>
    <w:p w14:paraId="288F5348" w14:textId="4009576E" w:rsidR="001F7699" w:rsidRPr="007666B8" w:rsidRDefault="00B70BA2" w:rsidP="007760F2">
      <w:pPr>
        <w:pStyle w:val="OrderingParagraph"/>
        <w:tabs>
          <w:tab w:val="clear" w:pos="720"/>
        </w:tabs>
      </w:pPr>
      <w:r>
        <w:t xml:space="preserve">The signatories agreed that </w:t>
      </w:r>
      <w:r w:rsidR="00892FCA" w:rsidRPr="007666B8">
        <w:t xml:space="preserve">CenterPoint Houston shall reimburse Cities </w:t>
      </w:r>
      <w:r w:rsidR="00892FCA">
        <w:t>f</w:t>
      </w:r>
      <w:r w:rsidR="00892FCA" w:rsidRPr="007666B8">
        <w:t xml:space="preserve">or their reasonable rate-case expenses associated with this proceeding, including amounts incurred during August 2024, September 2024, and October 2024. However, the Company will not seek recovery of its own or Cities’ rate-case expenses in connection with this proceeding incurred during the months of August 2024, September 2024, or </w:t>
      </w:r>
      <w:r w:rsidR="00892FCA" w:rsidRPr="007666B8">
        <w:lastRenderedPageBreak/>
        <w:t xml:space="preserve">October 2024, as these expenses are not reasonable and necessary for purposes of recovery from ratepayers. </w:t>
      </w:r>
    </w:p>
    <w:p w14:paraId="1D7AC262" w14:textId="5CEC7396" w:rsidR="001F7699" w:rsidRDefault="00B70BA2" w:rsidP="007760F2">
      <w:pPr>
        <w:pStyle w:val="OrderingParagraph"/>
        <w:tabs>
          <w:tab w:val="clear" w:pos="720"/>
        </w:tabs>
      </w:pPr>
      <w:r>
        <w:t xml:space="preserve">The signatories agreed that </w:t>
      </w:r>
      <w:r w:rsidR="00892FCA">
        <w:t>CenterPoint Houston shall reimburse Cities for their expenses incurred in CenterPoint’s System Resiliency Plan (</w:t>
      </w:r>
      <w:r w:rsidR="00326140">
        <w:t>“</w:t>
      </w:r>
      <w:r w:rsidR="00892FCA">
        <w:t>SRP</w:t>
      </w:r>
      <w:r w:rsidR="00326140">
        <w:t>”</w:t>
      </w:r>
      <w:r w:rsidR="00892FCA">
        <w:t xml:space="preserve">), which it withdrew on August 1, 2024, in Docket No. 56548, Application of CenterPoint Energy Houston Electric, LLC for Approval of Its Transmission and Distribution System Resiliency Plans (Docket No. 56548) for the period of April 2024 through </w:t>
      </w:r>
      <w:r w:rsidR="00104DDB">
        <w:t>August</w:t>
      </w:r>
      <w:r w:rsidR="00892FCA">
        <w:t xml:space="preserve"> 2024.</w:t>
      </w:r>
    </w:p>
    <w:p w14:paraId="76DDED35" w14:textId="77777777" w:rsidR="00DF2207" w:rsidRDefault="00B70BA2" w:rsidP="007760F2">
      <w:pPr>
        <w:pStyle w:val="OrderingParagraph"/>
        <w:tabs>
          <w:tab w:val="clear" w:pos="720"/>
        </w:tabs>
      </w:pPr>
      <w:r>
        <w:t xml:space="preserve">The signatories agreed that </w:t>
      </w:r>
      <w:r w:rsidR="00892FCA">
        <w:t>CenterPoint Houston shall reimburse Cities for the reasonable expenses Cities incur in CenterPoint’s 2025 SRP proceeding, including Cities’ reasonable expenses incurred to monitor CenterPoint’s implementation of its SRP</w:t>
      </w:r>
      <w:r w:rsidR="7F1A14FC">
        <w:t xml:space="preserve">, </w:t>
      </w:r>
    </w:p>
    <w:p w14:paraId="097FD92F" w14:textId="3BA93049" w:rsidR="001F7699" w:rsidRDefault="00DF2207" w:rsidP="007760F2">
      <w:pPr>
        <w:pStyle w:val="OrderingParagraph"/>
        <w:tabs>
          <w:tab w:val="clear" w:pos="720"/>
        </w:tabs>
      </w:pPr>
      <w:r>
        <w:t xml:space="preserve">The signatories agreed that CenterPoint Houston shall reimburse Cities </w:t>
      </w:r>
      <w:r w:rsidR="007032F4">
        <w:t>for reasonable expense</w:t>
      </w:r>
      <w:r w:rsidR="00191221">
        <w:t>s</w:t>
      </w:r>
      <w:r w:rsidR="007032F4">
        <w:t xml:space="preserve"> </w:t>
      </w:r>
      <w:r w:rsidR="00191221">
        <w:t>Cities incur</w:t>
      </w:r>
      <w:r w:rsidR="007032F4">
        <w:t xml:space="preserve"> in Docket No. 57271, </w:t>
      </w:r>
      <w:r w:rsidR="00F91879">
        <w:t xml:space="preserve">in </w:t>
      </w:r>
      <w:r w:rsidR="007032F4">
        <w:t xml:space="preserve">related finance-order filings, </w:t>
      </w:r>
      <w:r w:rsidR="7F1A14FC">
        <w:t>and in CenterPoint Houston’s future storm-restoration proceedings related to Hurricane Beryl, including the co</w:t>
      </w:r>
      <w:r w:rsidR="7A855C60">
        <w:t>st-determination filings and finance-order filings related to such proceedings</w:t>
      </w:r>
      <w:r w:rsidR="6870081E">
        <w:t>.</w:t>
      </w:r>
    </w:p>
    <w:p w14:paraId="10BC3B0A" w14:textId="2A4BC02E" w:rsidR="00B70BA2" w:rsidRDefault="00B70BA2" w:rsidP="007760F2">
      <w:pPr>
        <w:pStyle w:val="OrderingParagraph"/>
        <w:tabs>
          <w:tab w:val="clear" w:pos="720"/>
        </w:tabs>
      </w:pPr>
      <w:r>
        <w:t xml:space="preserve">It is appropriate that CenterPoint Houston </w:t>
      </w:r>
      <w:r w:rsidR="004F5180">
        <w:t xml:space="preserve">reimburse Cities for expenses incurred, </w:t>
      </w:r>
      <w:r w:rsidR="005F4551">
        <w:t>and recover its own rate-case expenses,</w:t>
      </w:r>
      <w:r w:rsidR="004F5180">
        <w:t xml:space="preserve"> as described </w:t>
      </w:r>
      <w:r w:rsidR="005F4551">
        <w:t xml:space="preserve">in Findings of Fact </w:t>
      </w:r>
      <w:r w:rsidR="00324813" w:rsidRPr="00F25BA6">
        <w:t>90</w:t>
      </w:r>
      <w:r w:rsidR="005F4551" w:rsidRPr="00F25BA6">
        <w:t xml:space="preserve"> through </w:t>
      </w:r>
      <w:r w:rsidR="00A22807" w:rsidRPr="00F25BA6">
        <w:t>95</w:t>
      </w:r>
      <w:r w:rsidR="005F4551">
        <w:t>.</w:t>
      </w:r>
    </w:p>
    <w:p w14:paraId="1F7998F0" w14:textId="48712B8E" w:rsidR="00410902" w:rsidRDefault="00892FCA" w:rsidP="00410902">
      <w:pPr>
        <w:pStyle w:val="Heading2"/>
      </w:pPr>
      <w:r>
        <w:t xml:space="preserve">Agreement – </w:t>
      </w:r>
      <w:r w:rsidR="005D1162">
        <w:t>Wholesale Transmission Service (“WTS”) Rate</w:t>
      </w:r>
    </w:p>
    <w:p w14:paraId="31E8B963" w14:textId="7590D531" w:rsidR="001F7699" w:rsidRDefault="00892FCA" w:rsidP="00EF0190">
      <w:pPr>
        <w:pStyle w:val="OrderingParagraph"/>
        <w:tabs>
          <w:tab w:val="clear" w:pos="720"/>
        </w:tabs>
      </w:pPr>
      <w:r>
        <w:t>The signatories agreed that CenterPoint Houston’s WTS rate should be set using the Commission approved 2023 Four Coincident Peak (“4CP”) value of 83,685,241.4 kW.</w:t>
      </w:r>
    </w:p>
    <w:p w14:paraId="0C823A18" w14:textId="5DDC7B6B" w:rsidR="007D7FC4" w:rsidRDefault="00892FCA" w:rsidP="007665E1">
      <w:pPr>
        <w:pStyle w:val="OrderingParagraph"/>
        <w:tabs>
          <w:tab w:val="clear" w:pos="720"/>
        </w:tabs>
      </w:pPr>
      <w:r>
        <w:t>It is appropriate that CenterPoint Houston’s WTS rate be set using the Commission approved 2023 4CP value of 83,685,241.4</w:t>
      </w:r>
      <w:r w:rsidR="00D81D7E">
        <w:t xml:space="preserve"> kW</w:t>
      </w:r>
      <w:r>
        <w:t>.</w:t>
      </w:r>
    </w:p>
    <w:p w14:paraId="674F9D16" w14:textId="16D3ACFB" w:rsidR="00410902" w:rsidRDefault="00892FCA" w:rsidP="00410902">
      <w:pPr>
        <w:pStyle w:val="Heading2"/>
      </w:pPr>
      <w:r>
        <w:t>Agreement –</w:t>
      </w:r>
      <w:r w:rsidR="005D1162">
        <w:t>Allowance for Funds Used During Construction (“AFUDC”)</w:t>
      </w:r>
    </w:p>
    <w:p w14:paraId="573FBE89" w14:textId="6282A821" w:rsidR="007D7FC4" w:rsidRDefault="00892FCA" w:rsidP="00EF0190">
      <w:pPr>
        <w:pStyle w:val="OrderingParagraph"/>
        <w:tabs>
          <w:tab w:val="clear" w:pos="720"/>
        </w:tabs>
      </w:pPr>
      <w:r>
        <w:t xml:space="preserve">The signatories agreed that </w:t>
      </w:r>
      <w:r w:rsidR="001F7699">
        <w:t xml:space="preserve">CenterPoint Houston </w:t>
      </w:r>
      <w:bookmarkStart w:id="0" w:name="_Int_3ASm5WjO"/>
      <w:r w:rsidR="001F7699">
        <w:t>shall</w:t>
      </w:r>
      <w:bookmarkEnd w:id="0"/>
      <w:r w:rsidR="001F7699">
        <w:t xml:space="preserve"> adhere to AFUDC account requirements pursuant to the FERC U</w:t>
      </w:r>
      <w:r w:rsidR="00287E84">
        <w:t>SOA</w:t>
      </w:r>
      <w:r w:rsidR="001F7699">
        <w:t xml:space="preserve"> (18 C.F.R., Part 101, Electric Plant Instruction No. 3(17)) and related precedent</w:t>
      </w:r>
      <w:r>
        <w:t xml:space="preserve">. </w:t>
      </w:r>
    </w:p>
    <w:p w14:paraId="481CD72B" w14:textId="1DD922F1" w:rsidR="001F7699" w:rsidRDefault="00892FCA" w:rsidP="007665E1">
      <w:pPr>
        <w:pStyle w:val="OrderingParagraph"/>
        <w:tabs>
          <w:tab w:val="clear" w:pos="720"/>
        </w:tabs>
      </w:pPr>
      <w:r>
        <w:lastRenderedPageBreak/>
        <w:t>The signatories agreed that CenterPoint Houston shall discontinue rounding the AFUDC rate up to the next 0.25%, effective January 1, 2025.</w:t>
      </w:r>
    </w:p>
    <w:p w14:paraId="51348B55" w14:textId="4978DCAB" w:rsidR="007D7FC4" w:rsidRDefault="00892FCA" w:rsidP="007665E1">
      <w:pPr>
        <w:pStyle w:val="OrderingParagraph"/>
        <w:tabs>
          <w:tab w:val="clear" w:pos="720"/>
        </w:tabs>
      </w:pPr>
      <w:r>
        <w:t xml:space="preserve">It is appropriate that CenterPoint </w:t>
      </w:r>
      <w:r w:rsidR="00104DDB">
        <w:t>Houston</w:t>
      </w:r>
      <w:r>
        <w:t xml:space="preserve"> adhere to AFUDC account requirements pursuant to the FERC Uniform System of Accounts and related precedent.</w:t>
      </w:r>
    </w:p>
    <w:p w14:paraId="3D89DDCD" w14:textId="3F437079" w:rsidR="007D7FC4" w:rsidRDefault="00892FCA" w:rsidP="007665E1">
      <w:pPr>
        <w:pStyle w:val="OrderingParagraph"/>
        <w:tabs>
          <w:tab w:val="clear" w:pos="720"/>
        </w:tabs>
      </w:pPr>
      <w:r>
        <w:t>It is appropriate that CenterPoint Houston discontinue rounding the AFUDC rate up to the next 0.25%, effective January 1, 2025.</w:t>
      </w:r>
    </w:p>
    <w:p w14:paraId="71DDE467" w14:textId="0B8DFF68" w:rsidR="00410902" w:rsidRDefault="00892FCA" w:rsidP="00410902">
      <w:pPr>
        <w:pStyle w:val="Heading2"/>
      </w:pPr>
      <w:r>
        <w:t xml:space="preserve">Agreement – </w:t>
      </w:r>
      <w:r w:rsidR="005D1162">
        <w:t>Approval of Requested Billing Determinants</w:t>
      </w:r>
    </w:p>
    <w:p w14:paraId="15775C0C" w14:textId="002E8B2E" w:rsidR="001F7699" w:rsidRDefault="00892FCA" w:rsidP="00314660">
      <w:pPr>
        <w:pStyle w:val="OrderingParagraph"/>
        <w:tabs>
          <w:tab w:val="clear" w:pos="720"/>
        </w:tabs>
      </w:pPr>
      <w:r>
        <w:t>CenterPoint Houston’s requested billing determinants as set out in Schedule IV-J-5</w:t>
      </w:r>
      <w:r w:rsidR="006E7ABF">
        <w:t xml:space="preserve"> (as amended by any errata)</w:t>
      </w:r>
      <w:r>
        <w:t xml:space="preserve"> are </w:t>
      </w:r>
      <w:r w:rsidR="007D7FC4">
        <w:t>reasonable</w:t>
      </w:r>
      <w:r>
        <w:t>.</w:t>
      </w:r>
    </w:p>
    <w:p w14:paraId="3745F8C6" w14:textId="620989A0" w:rsidR="00410902" w:rsidRDefault="00892FCA" w:rsidP="00410902">
      <w:pPr>
        <w:pStyle w:val="Heading2"/>
      </w:pPr>
      <w:r>
        <w:t xml:space="preserve">Agreement – </w:t>
      </w:r>
      <w:r w:rsidR="005D1162">
        <w:t>Approval of the Accounting Treatment for Third-Party Cloud Computing Arrangements (“CCAs”)</w:t>
      </w:r>
    </w:p>
    <w:p w14:paraId="3A60DFB9" w14:textId="2C222110" w:rsidR="001F7699" w:rsidRDefault="00660356" w:rsidP="00314660">
      <w:pPr>
        <w:pStyle w:val="OrderingParagraph"/>
        <w:tabs>
          <w:tab w:val="clear" w:pos="720"/>
        </w:tabs>
      </w:pPr>
      <w:r>
        <w:t xml:space="preserve">The signatories agreed that </w:t>
      </w:r>
      <w:r w:rsidR="00892FCA">
        <w:t xml:space="preserve">CenterPoint Houston’s requested accounting treatment for third-party CCAs, as described in the Direct Testimony of </w:t>
      </w:r>
      <w:r w:rsidR="006550F9">
        <w:t>CenterPoint Houston</w:t>
      </w:r>
      <w:r w:rsidR="00892FCA">
        <w:t xml:space="preserve"> witness Kristie L. Colvin, is reasonable.</w:t>
      </w:r>
    </w:p>
    <w:p w14:paraId="409803E8" w14:textId="1DE10A56" w:rsidR="006550F9" w:rsidRDefault="00342B98" w:rsidP="00865E88">
      <w:pPr>
        <w:pStyle w:val="OrderingParagraph"/>
        <w:tabs>
          <w:tab w:val="clear" w:pos="720"/>
        </w:tabs>
      </w:pPr>
      <w:r>
        <w:t>It is appropriate to adopt CenterPoint Houston’s requested accounting treatment for third-party CCAs, as described in the Direct Testimony of CenterPoint Houston witness Kristie L. Colvin.</w:t>
      </w:r>
    </w:p>
    <w:p w14:paraId="31737EBF" w14:textId="01F8F9D5" w:rsidR="001F7699" w:rsidRDefault="00892FCA" w:rsidP="00410902">
      <w:pPr>
        <w:pStyle w:val="Heading2"/>
      </w:pPr>
      <w:r>
        <w:t xml:space="preserve">Agreement – </w:t>
      </w:r>
      <w:r w:rsidR="005D1162">
        <w:t>Statutory Requirements and Baseline Values</w:t>
      </w:r>
    </w:p>
    <w:p w14:paraId="7E9D3C2A" w14:textId="7B584A0C" w:rsidR="003225F7" w:rsidRDefault="00892FCA" w:rsidP="00865E88">
      <w:pPr>
        <w:pStyle w:val="OrderingParagraph"/>
        <w:tabs>
          <w:tab w:val="clear" w:pos="720"/>
        </w:tabs>
      </w:pPr>
      <w:r>
        <w:t xml:space="preserve">The signatories agreed to adopt statutory requirements and baseline values as set forth in findings of fact </w:t>
      </w:r>
      <w:r w:rsidR="3165EDF5" w:rsidRPr="00F25BA6">
        <w:t>107</w:t>
      </w:r>
      <w:r w:rsidRPr="00F25BA6">
        <w:t xml:space="preserve"> through </w:t>
      </w:r>
      <w:r w:rsidR="6CC759A1" w:rsidRPr="00F25BA6">
        <w:t>11</w:t>
      </w:r>
      <w:r w:rsidR="32D3EE2C" w:rsidRPr="00F25BA6">
        <w:t>5</w:t>
      </w:r>
      <w:r>
        <w:t xml:space="preserve"> of this Order.</w:t>
      </w:r>
    </w:p>
    <w:p w14:paraId="605558EA" w14:textId="21D1330C" w:rsidR="004B2229" w:rsidRDefault="00C17931" w:rsidP="00865E88">
      <w:pPr>
        <w:pStyle w:val="OrderingParagraph"/>
        <w:tabs>
          <w:tab w:val="clear" w:pos="720"/>
        </w:tabs>
      </w:pPr>
      <w:r>
        <w:t>To the ext</w:t>
      </w:r>
      <w:r w:rsidR="004B2229">
        <w:t>ent that affiliate costs are included in the agreed-to rates, they are reasonable and necessary for each class of affiliate costs presented in CenterPoint Houston’s application.</w:t>
      </w:r>
    </w:p>
    <w:p w14:paraId="36D22441" w14:textId="04CA826E" w:rsidR="001F7699" w:rsidRDefault="004B2229" w:rsidP="00865E88">
      <w:pPr>
        <w:pStyle w:val="OrderingParagraph"/>
        <w:tabs>
          <w:tab w:val="clear" w:pos="720"/>
        </w:tabs>
      </w:pPr>
      <w:r>
        <w:t xml:space="preserve">To the extent that affiliate costs are included in the agreed-to rates, the prices charged to CenterPoint Houston </w:t>
      </w:r>
      <w:r w:rsidR="0082601C">
        <w:t>are</w:t>
      </w:r>
      <w:r>
        <w:t xml:space="preserve"> not higher than the prices charged by the supplying affiliate for the same item or class of items to its other affiliates or divisions or to a non-affiliated person with the same market areas or having the same market conditions. </w:t>
      </w:r>
    </w:p>
    <w:p w14:paraId="36C5944D" w14:textId="3868A9BE" w:rsidR="001F7699" w:rsidRDefault="00892FCA" w:rsidP="00865E88">
      <w:pPr>
        <w:pStyle w:val="OrderingParagraph"/>
        <w:tabs>
          <w:tab w:val="clear" w:pos="720"/>
        </w:tabs>
      </w:pPr>
      <w:r>
        <w:lastRenderedPageBreak/>
        <w:t>CenterPoint Houston’s request for an annual self-insurance reserve accrual of $22.</w:t>
      </w:r>
      <w:r w:rsidR="4C86EBC1">
        <w:t>34</w:t>
      </w:r>
      <w:r>
        <w:t xml:space="preserve"> million and a new target property insurance reserve of $16.7 million, as described in the Direct Testimony of Company witness Gregory S. Wilson, is reasonable. </w:t>
      </w:r>
    </w:p>
    <w:p w14:paraId="54D71AC6" w14:textId="212F9873" w:rsidR="001F7699" w:rsidRDefault="00892FCA" w:rsidP="00865E88">
      <w:pPr>
        <w:pStyle w:val="OrderingParagraph"/>
        <w:tabs>
          <w:tab w:val="clear" w:pos="720"/>
        </w:tabs>
      </w:pPr>
      <w:r>
        <w:t>CenterPoint Houston will continue to use current depreciation rates approved in Commission Docket No. 49421.</w:t>
      </w:r>
    </w:p>
    <w:p w14:paraId="5B2AFEBC" w14:textId="0FF3149A" w:rsidR="001F7699" w:rsidRDefault="00085512" w:rsidP="00865E88">
      <w:pPr>
        <w:pStyle w:val="OrderingParagraph"/>
        <w:tabs>
          <w:tab w:val="clear" w:pos="720"/>
        </w:tabs>
      </w:pPr>
      <w:r>
        <w:t xml:space="preserve">CenterPoint Houston’s requested </w:t>
      </w:r>
      <w:r w:rsidR="007174AB">
        <w:t>Pension and Other Postemployment Benefits (“OPEB”) Baselines</w:t>
      </w:r>
      <w:r w:rsidR="009D63B0">
        <w:t xml:space="preserve"> as shown </w:t>
      </w:r>
      <w:r w:rsidR="009303BB">
        <w:t>in</w:t>
      </w:r>
      <w:r w:rsidR="009D63B0">
        <w:t xml:space="preserve"> Table 2 in the </w:t>
      </w:r>
      <w:r w:rsidR="0062316F">
        <w:t>Direct Testimony of Kristie L. Colvin</w:t>
      </w:r>
      <w:r w:rsidR="007174AB">
        <w:t xml:space="preserve"> are reasonable. </w:t>
      </w:r>
      <w:r w:rsidR="00892FCA">
        <w:t>Consistent with PURA § 36.065, CenterPoint Houston’s Pension and OPEB Baselines are $11,605,293 for the qualified defined benefit pension plan, $12,782,647 for the qualified defined contribution pension plan, and ($494,986) for OPEB expense</w:t>
      </w:r>
      <w:r w:rsidR="4F313E4F">
        <w:t xml:space="preserve"> as</w:t>
      </w:r>
      <w:r w:rsidR="003225F7">
        <w:t xml:space="preserve"> </w:t>
      </w:r>
      <w:r w:rsidR="00892FCA">
        <w:t xml:space="preserve">shown in </w:t>
      </w:r>
      <w:r w:rsidR="00AA5CFF">
        <w:t xml:space="preserve">Exhibit E to the </w:t>
      </w:r>
      <w:r w:rsidR="008F3ADE">
        <w:t>Agreement</w:t>
      </w:r>
      <w:r w:rsidR="00AB476D">
        <w:t xml:space="preserve"> and</w:t>
      </w:r>
      <w:r w:rsidR="003225F7">
        <w:t xml:space="preserve"> </w:t>
      </w:r>
      <w:r w:rsidR="00892FCA">
        <w:t>are reasonable.</w:t>
      </w:r>
    </w:p>
    <w:p w14:paraId="1B7B6637" w14:textId="446ED0E1" w:rsidR="001F7699" w:rsidRDefault="00892FCA" w:rsidP="00865E88">
      <w:pPr>
        <w:pStyle w:val="OrderingParagraph"/>
        <w:tabs>
          <w:tab w:val="clear" w:pos="720"/>
        </w:tabs>
      </w:pPr>
      <w:r>
        <w:t xml:space="preserve">CenterPoint Houston’s request for approval of a new baseline for the LLTF Balance in Rates, as described in </w:t>
      </w:r>
      <w:r w:rsidR="0075210F">
        <w:t>Exhibit F to the Agreement</w:t>
      </w:r>
      <w:r>
        <w:t xml:space="preserve">, is reasonable. The fact that the </w:t>
      </w:r>
      <w:r w:rsidR="007E3131">
        <w:t>signatories</w:t>
      </w:r>
      <w:r>
        <w:t xml:space="preserve"> have agreed to the use of this baseline value as specified in this section does not reflect an agreement on any methodology that may be used by CenterPoint Houston in a future case regarding LLTF cost recovery.</w:t>
      </w:r>
    </w:p>
    <w:p w14:paraId="680CFF61" w14:textId="6C24C37B" w:rsidR="001F7699" w:rsidRDefault="00892FCA" w:rsidP="00865E88">
      <w:pPr>
        <w:pStyle w:val="OrderingParagraph"/>
        <w:tabs>
          <w:tab w:val="clear" w:pos="720"/>
        </w:tabs>
      </w:pPr>
      <w:r>
        <w:t xml:space="preserve">The Transmission Cost Recovery Factor </w:t>
      </w:r>
      <w:r w:rsidR="6CA06917">
        <w:t>(“TCRF”)</w:t>
      </w:r>
      <w:r>
        <w:t xml:space="preserve"> baseline values and accounting </w:t>
      </w:r>
      <w:r w:rsidR="00E0273B">
        <w:t xml:space="preserve">and the proposed allocation factors for future TCRF updates </w:t>
      </w:r>
      <w:r>
        <w:t xml:space="preserve">requested in the Application (as modified by </w:t>
      </w:r>
      <w:r w:rsidR="0075210F">
        <w:t>and set out in Exhibit G</w:t>
      </w:r>
      <w:r w:rsidR="00A41ABC">
        <w:t xml:space="preserve"> to the Agreement</w:t>
      </w:r>
      <w:r w:rsidR="0075210F">
        <w:t>)</w:t>
      </w:r>
      <w:r>
        <w:t xml:space="preserve"> are reasonable.</w:t>
      </w:r>
    </w:p>
    <w:p w14:paraId="55AE1D4E" w14:textId="32276A28" w:rsidR="001F7699" w:rsidRDefault="00892FCA" w:rsidP="00865E88">
      <w:pPr>
        <w:pStyle w:val="OrderingParagraph"/>
        <w:tabs>
          <w:tab w:val="clear" w:pos="720"/>
        </w:tabs>
      </w:pPr>
      <w:r>
        <w:t xml:space="preserve">The Distribution Cost Recovery Factor </w:t>
      </w:r>
      <w:r w:rsidR="63F66484">
        <w:t>(“DCRF”)</w:t>
      </w:r>
      <w:r>
        <w:t xml:space="preserve"> baseline values and accounting requested in the Application (as modified by </w:t>
      </w:r>
      <w:r w:rsidR="0075210F">
        <w:t xml:space="preserve">and set out in Exhibit </w:t>
      </w:r>
      <w:r w:rsidR="004F1F44">
        <w:t>H</w:t>
      </w:r>
      <w:r w:rsidR="0075210F">
        <w:t xml:space="preserve"> to the Agreement</w:t>
      </w:r>
      <w:r>
        <w:t xml:space="preserve">) are reasonable. </w:t>
      </w:r>
    </w:p>
    <w:p w14:paraId="13A716D9" w14:textId="657AD273" w:rsidR="001F7699" w:rsidRDefault="00892FCA" w:rsidP="00865E88">
      <w:pPr>
        <w:pStyle w:val="OrderingParagraph"/>
        <w:tabs>
          <w:tab w:val="clear" w:pos="720"/>
        </w:tabs>
      </w:pPr>
      <w:r>
        <w:t xml:space="preserve">The Transmission Cost of Service (“TCOS”) baseline values and accounting requested in the Application (as modified by </w:t>
      </w:r>
      <w:r w:rsidR="00216F70">
        <w:t>and set out in Exhibit I to the</w:t>
      </w:r>
      <w:r>
        <w:t xml:space="preserve"> Agreement) are reasonable. </w:t>
      </w:r>
    </w:p>
    <w:p w14:paraId="56A9B731" w14:textId="43467730" w:rsidR="384B1516" w:rsidRDefault="384B1516" w:rsidP="025D7552">
      <w:pPr>
        <w:pStyle w:val="Heading2"/>
      </w:pPr>
      <w:r>
        <w:lastRenderedPageBreak/>
        <w:t>Net Operating Loss Carryforward Accumulated Deferred Income Tax (“NOLC ADIT”) Amount Calculation</w:t>
      </w:r>
    </w:p>
    <w:p w14:paraId="150E0669" w14:textId="53AD6100" w:rsidR="384B1516" w:rsidRDefault="384B1516" w:rsidP="00245B8A">
      <w:pPr>
        <w:pStyle w:val="OrderingParagraph"/>
      </w:pPr>
      <w:r>
        <w:t xml:space="preserve">The signatories agreed that </w:t>
      </w:r>
      <w:r w:rsidRPr="00F25BA6">
        <w:rPr>
          <w:szCs w:val="24"/>
        </w:rPr>
        <w:t>CenterPoint Houston's NOLC ADIT amount included in future DCRF Update filings shall be calculated in accordance with PURA § 36.060.</w:t>
      </w:r>
    </w:p>
    <w:p w14:paraId="6C607F95" w14:textId="1B9943BD" w:rsidR="015C7C99" w:rsidRDefault="015C7C99" w:rsidP="025D7552">
      <w:pPr>
        <w:pStyle w:val="OrderingParagraph"/>
      </w:pPr>
      <w:r w:rsidRPr="00F25BA6">
        <w:rPr>
          <w:szCs w:val="24"/>
        </w:rPr>
        <w:t>It is appropriate that CenterPoint Houston’s NOLC ADIT amount included in future DCRF Update filings are calculated in accordance with PURA § 36.060</w:t>
      </w:r>
      <w:r w:rsidR="00360A7A" w:rsidRPr="00F25BA6">
        <w:rPr>
          <w:szCs w:val="24"/>
        </w:rPr>
        <w:t>.</w:t>
      </w:r>
    </w:p>
    <w:p w14:paraId="6E27C6A6" w14:textId="3EBCD800" w:rsidR="00410902" w:rsidRDefault="00892FCA" w:rsidP="00410902">
      <w:pPr>
        <w:pStyle w:val="Heading2"/>
      </w:pPr>
      <w:r>
        <w:t xml:space="preserve">Agreement – </w:t>
      </w:r>
      <w:r w:rsidR="005D1162">
        <w:t>Moratorium on Disconnections for Nonpayment Due to Extreme Weather Events</w:t>
      </w:r>
    </w:p>
    <w:p w14:paraId="0C2450B0" w14:textId="69528706" w:rsidR="001F7699" w:rsidRDefault="00892FCA" w:rsidP="001F7699">
      <w:pPr>
        <w:pStyle w:val="OrderingParagraph"/>
      </w:pPr>
      <w:r>
        <w:t xml:space="preserve">The </w:t>
      </w:r>
      <w:r w:rsidR="007E3131">
        <w:t>signatories</w:t>
      </w:r>
      <w:r>
        <w:t xml:space="preserve"> agreed that </w:t>
      </w:r>
      <w:r w:rsidR="00170772">
        <w:t>no later than</w:t>
      </w:r>
      <w:r>
        <w:t xml:space="preserve"> May 1, 2025, CenterPoint Houston will issue the moratorium on disconnections for nonpayment (“DNP”) due to extreme weather events by county rather than for its entire service area. Additionally, CenterPoint Houston shall only implement DNP moratoriums consistent with PUC rules and the Company’s tariff.</w:t>
      </w:r>
    </w:p>
    <w:p w14:paraId="4AB6B947" w14:textId="770A10B7" w:rsidR="003225F7" w:rsidRDefault="00892FCA" w:rsidP="001F7699">
      <w:pPr>
        <w:pStyle w:val="OrderingParagraph"/>
      </w:pPr>
      <w:r>
        <w:t xml:space="preserve">It is </w:t>
      </w:r>
      <w:r w:rsidR="002108AA">
        <w:t xml:space="preserve">appropriate </w:t>
      </w:r>
      <w:r>
        <w:t xml:space="preserve">that CenterPoint Houston issue the DNP moratorium due to extreme weather events </w:t>
      </w:r>
      <w:bookmarkStart w:id="1" w:name="_Int_yuywppxC"/>
      <w:r>
        <w:t>by county</w:t>
      </w:r>
      <w:bookmarkEnd w:id="1"/>
      <w:r>
        <w:t xml:space="preserve"> and only implement DNP moratoriums consistent with PUC rules and the Company’s tariff.</w:t>
      </w:r>
    </w:p>
    <w:p w14:paraId="5861D35D" w14:textId="6DB73C68" w:rsidR="00410902" w:rsidRDefault="00892FCA" w:rsidP="00410902">
      <w:pPr>
        <w:pStyle w:val="Heading2"/>
      </w:pPr>
      <w:r>
        <w:t xml:space="preserve">Agreement – </w:t>
      </w:r>
      <w:r w:rsidR="005D1162">
        <w:t>Posting of Current Rates and Any Pending Rate Change Requests</w:t>
      </w:r>
    </w:p>
    <w:p w14:paraId="683818D9" w14:textId="2D31178A" w:rsidR="001F7699" w:rsidRDefault="00892FCA" w:rsidP="001F7699">
      <w:pPr>
        <w:pStyle w:val="OrderingParagraph"/>
      </w:pPr>
      <w:r>
        <w:t xml:space="preserve">The signatories </w:t>
      </w:r>
      <w:r w:rsidR="006A48C1">
        <w:t xml:space="preserve">agreed that </w:t>
      </w:r>
      <w:r>
        <w:t xml:space="preserve">CenterPoint Houston </w:t>
      </w:r>
      <w:r w:rsidR="006A48C1">
        <w:t>shall</w:t>
      </w:r>
      <w:r>
        <w:t xml:space="preserve"> post current rates and any pending rate change requests on a publicly available location in the competitive retailer section of CenterPoint Houston’s website, include the current rates for all customer classes, and be posted in a chart format.</w:t>
      </w:r>
    </w:p>
    <w:p w14:paraId="4F6F647A" w14:textId="6BE486FE" w:rsidR="006A48C1" w:rsidRDefault="00892FCA" w:rsidP="001F7699">
      <w:pPr>
        <w:pStyle w:val="OrderingParagraph"/>
      </w:pPr>
      <w:r>
        <w:t>It is reasonable that CenterPoint Houston post current rates and any pending rate change requests on a publicly available location in the competitive retailer section of CenterPoint Houston’s website, include the current rates for all customer classes, and be posted in a chart format.</w:t>
      </w:r>
    </w:p>
    <w:p w14:paraId="1CA23363" w14:textId="29955BC4" w:rsidR="00410902" w:rsidRDefault="00892FCA" w:rsidP="00410902">
      <w:pPr>
        <w:pStyle w:val="Heading2"/>
      </w:pPr>
      <w:r>
        <w:t xml:space="preserve">Agreement – </w:t>
      </w:r>
      <w:r w:rsidR="005D1162">
        <w:t>Outage Tracker</w:t>
      </w:r>
    </w:p>
    <w:p w14:paraId="4B1E1D6A" w14:textId="10368A90" w:rsidR="001F7699" w:rsidRDefault="0041538F" w:rsidP="001F7699">
      <w:pPr>
        <w:pStyle w:val="OrderingParagraph"/>
      </w:pPr>
      <w:r>
        <w:t xml:space="preserve">CenterPoint Houston agreed to return an online outage tracker map to operation within 30 days of the date of the Agreement. </w:t>
      </w:r>
      <w:r w:rsidR="00892FCA">
        <w:t xml:space="preserve">The signatories agreed that CenterPoint Houston </w:t>
      </w:r>
      <w:r w:rsidR="00892FCA">
        <w:lastRenderedPageBreak/>
        <w:t xml:space="preserve">shall </w:t>
      </w:r>
      <w:r w:rsidR="00892FCA" w:rsidRPr="007E3131">
        <w:t>file a report with the Commission providing the performance time of its outage tracker following any system outage involving more than 250,000 customers.</w:t>
      </w:r>
    </w:p>
    <w:p w14:paraId="52C1FF57" w14:textId="0BA532D0" w:rsidR="00410902" w:rsidRPr="007573B8" w:rsidRDefault="00892FCA" w:rsidP="00410902">
      <w:pPr>
        <w:pStyle w:val="Heading2"/>
      </w:pPr>
      <w:r>
        <w:t xml:space="preserve">Agreement – </w:t>
      </w:r>
      <w:r w:rsidR="005D1162" w:rsidRPr="007573B8">
        <w:t>Compliance Filing</w:t>
      </w:r>
    </w:p>
    <w:p w14:paraId="5D5B4A84" w14:textId="6BC2D795" w:rsidR="001F7699" w:rsidRPr="007573B8" w:rsidRDefault="00192662" w:rsidP="001F7699">
      <w:pPr>
        <w:pStyle w:val="OrderingParagraph"/>
      </w:pPr>
      <w:r>
        <w:t>If the pending DCRF is approved before the approval of a final order in this case, CenterPoint Houston shall revise the DCRF rates in effect at the time the final order in this case is approved to reflect removal of any duplicative amounts in base rates that would otherwise be recovered in such DCRF.  Any such update will be implemented to DCRF rates at the same time final rates from this rate case are implemented</w:t>
      </w:r>
      <w:r w:rsidR="00892FCA" w:rsidRPr="007573B8">
        <w:t>.</w:t>
      </w:r>
    </w:p>
    <w:p w14:paraId="0B8656A4" w14:textId="7C2E8EFC" w:rsidR="757B6C04" w:rsidRDefault="00892FCA" w:rsidP="620C2F68">
      <w:pPr>
        <w:pStyle w:val="Heading2"/>
      </w:pPr>
      <w:r>
        <w:t xml:space="preserve">Agreement – </w:t>
      </w:r>
      <w:r w:rsidR="757B6C04">
        <w:t>One-Time Refund</w:t>
      </w:r>
    </w:p>
    <w:p w14:paraId="34C88BE9" w14:textId="777A1C62" w:rsidR="4A9A5F61" w:rsidRDefault="00000ACF" w:rsidP="00634DF5">
      <w:pPr>
        <w:pStyle w:val="OrderingParagraph"/>
      </w:pPr>
      <w:r>
        <w:t>The signatories agreed that</w:t>
      </w:r>
      <w:r w:rsidR="009D4618">
        <w:t>,</w:t>
      </w:r>
      <w:r>
        <w:t xml:space="preserve"> t</w:t>
      </w:r>
      <w:r w:rsidR="4A9A5F61">
        <w:t xml:space="preserve">o provide customers with the benefit of the revenue requirement reduction stated in Finding of Fact </w:t>
      </w:r>
      <w:r w:rsidR="02016E32">
        <w:t>56</w:t>
      </w:r>
      <w:r w:rsidR="4A9A5F61">
        <w:t xml:space="preserve"> as of January 1, 2025, within five working days after approval of the final order in this case, CenterPoint Houston will submit an application for a one-time refund of $5.2 million to retail </w:t>
      </w:r>
      <w:r w:rsidR="0F322F73">
        <w:t>and wholesale customers allocated among functions and rate classes based on the agreed functional and class revenue requirement amounts</w:t>
      </w:r>
      <w:r w:rsidR="00545179">
        <w:t xml:space="preserve"> consistent with </w:t>
      </w:r>
      <w:r w:rsidR="00CA2C75">
        <w:t>Finding of Fact 58</w:t>
      </w:r>
      <w:r w:rsidR="00B8320A">
        <w:t xml:space="preserve"> </w:t>
      </w:r>
      <w:r w:rsidR="00EC0F7F">
        <w:t>above in an equalized percentage basis</w:t>
      </w:r>
      <w:r w:rsidR="30F46C7E">
        <w:t>.</w:t>
      </w:r>
      <w:r w:rsidR="4A9A5F61">
        <w:t xml:space="preserve"> CenterPoint Houston should use an existing SAC04 code to effectuate the refund and provide retail electric providers 45-day notice of the refund.</w:t>
      </w:r>
    </w:p>
    <w:p w14:paraId="12469015" w14:textId="331E1372" w:rsidR="001F7699" w:rsidRDefault="00892FCA" w:rsidP="00410902">
      <w:pPr>
        <w:pStyle w:val="Heading2"/>
      </w:pPr>
      <w:r>
        <w:t xml:space="preserve">Agreement – </w:t>
      </w:r>
      <w:r w:rsidR="00734F36">
        <w:t>Additional</w:t>
      </w:r>
      <w:r w:rsidR="005D1162">
        <w:t xml:space="preserve"> Matters</w:t>
      </w:r>
    </w:p>
    <w:p w14:paraId="38123F36" w14:textId="0D8B8C8C" w:rsidR="001F7699" w:rsidRDefault="00892FCA" w:rsidP="001F7699">
      <w:pPr>
        <w:pStyle w:val="OrderingParagraph"/>
      </w:pPr>
      <w:r>
        <w:t xml:space="preserve">By June 30, 2025, CenterPoint Houston </w:t>
      </w:r>
      <w:r w:rsidR="00CB2CEB">
        <w:t>agreed to</w:t>
      </w:r>
      <w:r>
        <w:t xml:space="preserve"> host a collaborative working group, open to relevant entities including the Port of Houston and other relevant municipal entities, to discuss implementation of Phase 1 of the National Zero-Emission Freight Corridor Strategy.</w:t>
      </w:r>
      <w:r w:rsidR="007573B8">
        <w:t xml:space="preserve"> </w:t>
      </w:r>
      <w:r>
        <w:t>At this discussion, CenterPoint Houston will provide an analysis of each of the locations within CenterPoint Houston’s territory identified as a Phase 1 hub location</w:t>
      </w:r>
      <w:r w:rsidR="00EC58C4">
        <w:t xml:space="preserve"> as of December 31, 2024</w:t>
      </w:r>
      <w:r>
        <w:t>, including for each Principal Port site (i) projected magnitude and timing of loads, and (ii) anticipated distribution system investments needed to serve such loads.</w:t>
      </w:r>
    </w:p>
    <w:p w14:paraId="2F0FBC55" w14:textId="19F1A8AF" w:rsidR="001F7699" w:rsidRDefault="00892FCA" w:rsidP="001F7699">
      <w:pPr>
        <w:pStyle w:val="OrderingParagraph"/>
      </w:pPr>
      <w:r>
        <w:t xml:space="preserve">CenterPoint Houston </w:t>
      </w:r>
      <w:r w:rsidR="00CB2CEB">
        <w:t>agreed to</w:t>
      </w:r>
      <w:r>
        <w:t xml:space="preserve"> host a collaborative working group, open to interested external stakeholders including municipal entities, regional and state planning entities, fleets, charging providers (e.g., EVSEs, charging-as-a-service providers, OEMs), and </w:t>
      </w:r>
      <w:r>
        <w:lastRenderedPageBreak/>
        <w:t>nonprofits to incorporate electric vehicle load growth into distribution system planning, deployment, and operation. This working group will meet at least once per year.</w:t>
      </w:r>
    </w:p>
    <w:p w14:paraId="33268908" w14:textId="1CB9BA13" w:rsidR="001F7699" w:rsidRDefault="00892FCA" w:rsidP="001F7699">
      <w:pPr>
        <w:pStyle w:val="OrderingParagraph"/>
      </w:pPr>
      <w:r>
        <w:t xml:space="preserve">By </w:t>
      </w:r>
      <w:r w:rsidR="006E7ABF">
        <w:t xml:space="preserve">December 31, 2025, CenterPoint Houston </w:t>
      </w:r>
      <w:r w:rsidR="004E2334">
        <w:t>agreed to</w:t>
      </w:r>
      <w:r w:rsidR="006E7ABF">
        <w:t xml:space="preserve"> produce a public report that identifies technological, security, and other potential barriers to publishing publicly</w:t>
      </w:r>
      <w:r w:rsidR="6D49863A">
        <w:t xml:space="preserve"> </w:t>
      </w:r>
      <w:r w:rsidR="006E7ABF">
        <w:t>available hosting capacity data, and the Company’s plans and estimated associated implementation costs to work to overcome those barriers.</w:t>
      </w:r>
    </w:p>
    <w:p w14:paraId="3EEEA9E9" w14:textId="1694C3C5" w:rsidR="008B0E13" w:rsidRPr="003D27D1" w:rsidRDefault="00892FCA" w:rsidP="00BF56B0">
      <w:pPr>
        <w:pStyle w:val="Heading1"/>
      </w:pPr>
      <w:r w:rsidRPr="003D27D1">
        <w:t>Conclusions of Law</w:t>
      </w:r>
    </w:p>
    <w:p w14:paraId="64F921C4" w14:textId="3C9D6C73" w:rsidR="00CF73B6" w:rsidRPr="003D27D1" w:rsidRDefault="00892FCA" w:rsidP="008552B3">
      <w:pPr>
        <w:pStyle w:val="OrderingParagraph"/>
        <w:numPr>
          <w:ilvl w:val="0"/>
          <w:numId w:val="42"/>
        </w:numPr>
        <w:tabs>
          <w:tab w:val="clear" w:pos="720"/>
        </w:tabs>
        <w:ind w:left="1080"/>
      </w:pPr>
      <w:r w:rsidRPr="003D27D1">
        <w:t>CenterPoint Houston is a public utility as that term is defined in PURA</w:t>
      </w:r>
      <w:r w:rsidR="008552B3" w:rsidRPr="008552B3">
        <w:rPr>
          <w:vertAlign w:val="superscript"/>
        </w:rPr>
        <w:footnoteReference w:id="4"/>
      </w:r>
      <w:r w:rsidRPr="003D27D1">
        <w:t xml:space="preserve"> § 11.004(1) and an electric utility as that term is defined in PURA § 31.002(b).</w:t>
      </w:r>
    </w:p>
    <w:p w14:paraId="1246107F" w14:textId="1B408700" w:rsidR="00CF73B6" w:rsidRPr="003D27D1" w:rsidRDefault="00892FCA" w:rsidP="005E6D84">
      <w:pPr>
        <w:pStyle w:val="OrderingParagraph"/>
        <w:tabs>
          <w:tab w:val="clear" w:pos="720"/>
        </w:tabs>
      </w:pPr>
      <w:r w:rsidRPr="003D27D1">
        <w:t>The Commission has jurisdiction over this matter under PURA §§ 14.001, 32.001, 33.051, 36.001 through 36.211, and 39.552.</w:t>
      </w:r>
    </w:p>
    <w:p w14:paraId="3D02348F" w14:textId="650FDDCE" w:rsidR="002108AA" w:rsidRDefault="00892FCA" w:rsidP="005E6D84">
      <w:pPr>
        <w:pStyle w:val="OrderingParagraph"/>
        <w:tabs>
          <w:tab w:val="clear" w:pos="720"/>
        </w:tabs>
      </w:pPr>
      <w:r>
        <w:t xml:space="preserve">Under PURA </w:t>
      </w:r>
      <w:r w:rsidRPr="003D27D1">
        <w:t>§</w:t>
      </w:r>
      <w:r>
        <w:t xml:space="preserve"> 33.051, each municipality in CenterPoint Houston’s service area that has not ceded jurisdiction to the Commission has jurisdiction over CenterPoint Houston’s application, which seeks to change rates for service within each municipality</w:t>
      </w:r>
      <w:r w:rsidR="00C0481C">
        <w:t>.</w:t>
      </w:r>
    </w:p>
    <w:p w14:paraId="323969ED" w14:textId="0B57A92F" w:rsidR="00CF73B6" w:rsidRPr="003D27D1" w:rsidRDefault="00892FCA" w:rsidP="005E6D84">
      <w:pPr>
        <w:pStyle w:val="OrderingParagraph"/>
        <w:tabs>
          <w:tab w:val="clear" w:pos="720"/>
        </w:tabs>
      </w:pPr>
      <w:r w:rsidRPr="003D27D1">
        <w:t xml:space="preserve">The Commission has jurisdiction over an appeal from municipalities’ rate proceedings under PURA </w:t>
      </w:r>
      <w:r w:rsidR="00E33AC4" w:rsidRPr="003D27D1">
        <w:t>§ 33.051.</w:t>
      </w:r>
    </w:p>
    <w:p w14:paraId="51EF8572" w14:textId="4B43C6F1" w:rsidR="00E33AC4" w:rsidRDefault="00892FCA" w:rsidP="005E6D84">
      <w:pPr>
        <w:pStyle w:val="OrderingParagraph"/>
        <w:tabs>
          <w:tab w:val="clear" w:pos="720"/>
        </w:tabs>
      </w:pPr>
      <w:r w:rsidRPr="003D27D1">
        <w:t>The Commission processed the application in accordance with the requirement of PURA, the Administrative Procedure Act,</w:t>
      </w:r>
      <w:r>
        <w:rPr>
          <w:rStyle w:val="FootnoteReference"/>
        </w:rPr>
        <w:footnoteReference w:id="5"/>
      </w:r>
      <w:r w:rsidRPr="003D27D1">
        <w:t xml:space="preserve"> and Commission rules.</w:t>
      </w:r>
    </w:p>
    <w:p w14:paraId="67F0C039" w14:textId="1DCEE15C" w:rsidR="00E94DDA" w:rsidRPr="003D27D1" w:rsidRDefault="00892FCA" w:rsidP="005E6D84">
      <w:pPr>
        <w:pStyle w:val="OrderingParagraph"/>
        <w:tabs>
          <w:tab w:val="clear" w:pos="720"/>
        </w:tabs>
      </w:pPr>
      <w:r>
        <w:t>Good cause exists to waive applicable rules and procedures to expedite the adoption of this Order.</w:t>
      </w:r>
    </w:p>
    <w:p w14:paraId="0233EA44" w14:textId="3A9B41DF" w:rsidR="00561E83" w:rsidRPr="003D27D1" w:rsidRDefault="00892FCA" w:rsidP="005E6D84">
      <w:pPr>
        <w:pStyle w:val="OrderingParagraph"/>
        <w:tabs>
          <w:tab w:val="clear" w:pos="720"/>
        </w:tabs>
      </w:pPr>
      <w:r w:rsidRPr="003D27D1">
        <w:t>The Commission</w:t>
      </w:r>
      <w:r w:rsidR="00F321E8" w:rsidRPr="003D27D1">
        <w:t>’s approval of the settlement is</w:t>
      </w:r>
      <w:r w:rsidRPr="003D27D1">
        <w:t xml:space="preserve"> in accordance with the requirement of PURA, the Administrative Procedure Act, and Commission rules.</w:t>
      </w:r>
    </w:p>
    <w:p w14:paraId="4C7A063B" w14:textId="77777777" w:rsidR="00837548" w:rsidRPr="003D27D1" w:rsidRDefault="00892FCA" w:rsidP="005E6D84">
      <w:pPr>
        <w:pStyle w:val="OrderingParagraph"/>
        <w:tabs>
          <w:tab w:val="clear" w:pos="720"/>
        </w:tabs>
      </w:pPr>
      <w:r w:rsidRPr="003D27D1">
        <w:lastRenderedPageBreak/>
        <w:t>SOAH exercised jurisdiction over this proceeding under PURA § 14.053 and Texas Government Code § 2003.049.</w:t>
      </w:r>
    </w:p>
    <w:p w14:paraId="492D3310" w14:textId="77777777" w:rsidR="00837548" w:rsidRPr="003D27D1" w:rsidRDefault="00892FCA" w:rsidP="005E6D84">
      <w:pPr>
        <w:pStyle w:val="OrderingParagraph"/>
        <w:tabs>
          <w:tab w:val="clear" w:pos="720"/>
        </w:tabs>
      </w:pPr>
      <w:r w:rsidRPr="003D27D1">
        <w:t>CenterPoint Houston provided notice of the application in compliance with PURA § 36.103 and 16 TAC § 22.51(a) and filed affidavits attesting to the completion of notice in compliance with 16 TAC § 22.51(d).</w:t>
      </w:r>
    </w:p>
    <w:p w14:paraId="71AD355C" w14:textId="77777777" w:rsidR="00837548" w:rsidRPr="003D27D1" w:rsidRDefault="00892FCA" w:rsidP="005E6D84">
      <w:pPr>
        <w:pStyle w:val="OrderingParagraph"/>
        <w:tabs>
          <w:tab w:val="clear" w:pos="720"/>
        </w:tabs>
      </w:pPr>
      <w:r w:rsidRPr="003D27D1">
        <w:t>The rates approved in this Order are just and reasonable; are not unreasonably preferential, prejudicial, or discriminatory; are sufficient, equitable, and consistent in application to each consumer class; and meet the requirements of PURA § 36.003.</w:t>
      </w:r>
    </w:p>
    <w:p w14:paraId="188DBC9E" w14:textId="77777777" w:rsidR="00837548" w:rsidRPr="003D27D1" w:rsidRDefault="00892FCA" w:rsidP="005E6D84">
      <w:pPr>
        <w:pStyle w:val="OrderingParagraph"/>
        <w:tabs>
          <w:tab w:val="clear" w:pos="720"/>
        </w:tabs>
      </w:pPr>
      <w:r w:rsidRPr="003D27D1">
        <w:t>In accordance with PURA § 36.051, the rates approved in this Order permit CenterPoint Houston a reasonable opportunity to earn a reasonable return on its invested capital used and useful in providing service to the public in excess of its reasonable and necessary operating expenses.</w:t>
      </w:r>
    </w:p>
    <w:p w14:paraId="0F1E2381" w14:textId="77777777" w:rsidR="00837548" w:rsidRPr="003D27D1" w:rsidRDefault="00892FCA" w:rsidP="005E6D84">
      <w:pPr>
        <w:pStyle w:val="OrderingParagraph"/>
        <w:tabs>
          <w:tab w:val="clear" w:pos="720"/>
        </w:tabs>
      </w:pPr>
      <w:r w:rsidRPr="003D27D1">
        <w:t>The retail revenue requirement approved in this Order does not include any expenses prohibited from recovery under PURA §§ 36.061(a) and 36.062.</w:t>
      </w:r>
    </w:p>
    <w:p w14:paraId="730B5729" w14:textId="77777777" w:rsidR="00837548" w:rsidRPr="003D27D1" w:rsidRDefault="00892FCA" w:rsidP="005E6D84">
      <w:pPr>
        <w:pStyle w:val="OrderingParagraph"/>
        <w:tabs>
          <w:tab w:val="clear" w:pos="720"/>
        </w:tabs>
      </w:pPr>
      <w:r w:rsidRPr="003D27D1">
        <w:t>CenterPoint Houston’s invested capital through the end of the test year meets the requirement of PURA § 36.058.</w:t>
      </w:r>
    </w:p>
    <w:p w14:paraId="651B2B73" w14:textId="1C436BD6" w:rsidR="00837548" w:rsidRPr="003D27D1" w:rsidRDefault="00892FCA" w:rsidP="005E6D84">
      <w:pPr>
        <w:pStyle w:val="OrderingParagraph"/>
        <w:tabs>
          <w:tab w:val="clear" w:pos="720"/>
        </w:tabs>
      </w:pPr>
      <w:r w:rsidRPr="003D27D1">
        <w:t xml:space="preserve">The affiliate expenses included in CenterPoint Houston’s rates under the </w:t>
      </w:r>
      <w:r w:rsidR="005E57C4" w:rsidRPr="00634DF5">
        <w:t>Agreement</w:t>
      </w:r>
      <w:r w:rsidRPr="003D27D1">
        <w:t xml:space="preserve"> comply with the requirements of PURA § 36.058.</w:t>
      </w:r>
    </w:p>
    <w:p w14:paraId="759F5C66" w14:textId="77777777" w:rsidR="00837548" w:rsidRPr="003D27D1" w:rsidRDefault="00892FCA" w:rsidP="005E6D84">
      <w:pPr>
        <w:pStyle w:val="OrderingParagraph"/>
        <w:tabs>
          <w:tab w:val="clear" w:pos="720"/>
        </w:tabs>
      </w:pPr>
      <w:r w:rsidRPr="003D27D1">
        <w:t>Under PURA § 36.065(b), a utility may establish one or more reserve accounts for expenses for pension and other postemployment benefits.</w:t>
      </w:r>
    </w:p>
    <w:p w14:paraId="3884382D" w14:textId="77777777" w:rsidR="002C5DC7" w:rsidRPr="003D27D1" w:rsidRDefault="00892FCA" w:rsidP="005E6D84">
      <w:pPr>
        <w:pStyle w:val="OrderingParagraph"/>
        <w:tabs>
          <w:tab w:val="clear" w:pos="720"/>
        </w:tabs>
      </w:pPr>
      <w:r w:rsidRPr="003D27D1">
        <w:t>The agreement resolves certain issues between the parties in this docket.</w:t>
      </w:r>
    </w:p>
    <w:p w14:paraId="1D0D0894" w14:textId="77777777" w:rsidR="002C5DC7" w:rsidRPr="003D27D1" w:rsidRDefault="00892FCA" w:rsidP="005E6D84">
      <w:pPr>
        <w:pStyle w:val="OrderingParagraph"/>
        <w:tabs>
          <w:tab w:val="clear" w:pos="720"/>
        </w:tabs>
      </w:pPr>
      <w:r w:rsidRPr="003D27D1">
        <w:t>The tariff sheets and rates schedules approved in this Order are just and reasonable.</w:t>
      </w:r>
    </w:p>
    <w:p w14:paraId="0F026AE2" w14:textId="1F75F183" w:rsidR="002C5DC7" w:rsidRPr="003D27D1" w:rsidRDefault="00892FCA" w:rsidP="005E6D84">
      <w:pPr>
        <w:pStyle w:val="OrderingParagraph"/>
        <w:tabs>
          <w:tab w:val="clear" w:pos="720"/>
        </w:tabs>
      </w:pPr>
      <w:r w:rsidRPr="003D27D1">
        <w:t xml:space="preserve">The Commission’s adoption of a final order in accordance with the </w:t>
      </w:r>
      <w:r w:rsidR="00607603" w:rsidRPr="00634DF5">
        <w:t>A</w:t>
      </w:r>
      <w:r w:rsidRPr="00634DF5">
        <w:t>greement</w:t>
      </w:r>
      <w:r w:rsidR="00977175" w:rsidRPr="003D27D1">
        <w:t xml:space="preserve"> </w:t>
      </w:r>
      <w:r w:rsidRPr="003D27D1">
        <w:t xml:space="preserve">satisfies the requirements of Texas Government Code </w:t>
      </w:r>
      <w:r w:rsidRPr="00634DF5">
        <w:t>§</w:t>
      </w:r>
      <w:r w:rsidRPr="003D27D1">
        <w:t xml:space="preserve"> 2001.051.</w:t>
      </w:r>
    </w:p>
    <w:p w14:paraId="15F88533" w14:textId="39F841DA" w:rsidR="002C5DC7" w:rsidRPr="003D27D1" w:rsidRDefault="00892FCA" w:rsidP="00770555">
      <w:pPr>
        <w:pStyle w:val="Heading1"/>
      </w:pPr>
      <w:r w:rsidRPr="003D27D1">
        <w:lastRenderedPageBreak/>
        <w:t>Ordering Paragraphs</w:t>
      </w:r>
    </w:p>
    <w:p w14:paraId="6B98DF9F" w14:textId="77777777" w:rsidR="002C5DC7" w:rsidRPr="003D27D1" w:rsidRDefault="00892FCA" w:rsidP="00C1584B">
      <w:pPr>
        <w:pStyle w:val="ListParagraph"/>
      </w:pPr>
      <w:r w:rsidRPr="003D27D1">
        <w:tab/>
        <w:t>In accordance with these finding of fact and conclusions of law, the Commission issues the following orders:</w:t>
      </w:r>
    </w:p>
    <w:p w14:paraId="229DCC62" w14:textId="583038DC" w:rsidR="002C5DC7" w:rsidRPr="00D96B11" w:rsidRDefault="00892FCA" w:rsidP="00CE6F32">
      <w:pPr>
        <w:pStyle w:val="OrderingParagraph"/>
        <w:numPr>
          <w:ilvl w:val="0"/>
          <w:numId w:val="41"/>
        </w:numPr>
        <w:tabs>
          <w:tab w:val="clear" w:pos="720"/>
        </w:tabs>
        <w:ind w:left="1080"/>
      </w:pPr>
      <w:r w:rsidRPr="00D96B11">
        <w:t xml:space="preserve">The Commission approves CenterPoint Houston’s application, as modified by the </w:t>
      </w:r>
      <w:r w:rsidR="002108AA">
        <w:t>A</w:t>
      </w:r>
      <w:r w:rsidRPr="00D96B11">
        <w:t>greement, to the extent provided in this Order.</w:t>
      </w:r>
    </w:p>
    <w:p w14:paraId="68B6F718" w14:textId="77777777" w:rsidR="002C5DC7" w:rsidRPr="00D96B11" w:rsidRDefault="00892FCA" w:rsidP="005E6D84">
      <w:pPr>
        <w:pStyle w:val="OrderingParagraph"/>
        <w:tabs>
          <w:tab w:val="clear" w:pos="720"/>
        </w:tabs>
      </w:pPr>
      <w:r w:rsidRPr="00D96B11">
        <w:t>The Commission approves the rates, terms, and conditions described in this Order.</w:t>
      </w:r>
    </w:p>
    <w:p w14:paraId="7BFB3434" w14:textId="716F1EE9" w:rsidR="002C5DC7" w:rsidRPr="00D96B11" w:rsidRDefault="00892FCA" w:rsidP="005E6D84">
      <w:pPr>
        <w:pStyle w:val="OrderingParagraph"/>
        <w:tabs>
          <w:tab w:val="clear" w:pos="720"/>
        </w:tabs>
      </w:pPr>
      <w:r w:rsidRPr="00D96B11">
        <w:t xml:space="preserve">The Commission </w:t>
      </w:r>
      <w:r w:rsidRPr="00634DF5">
        <w:t>approve</w:t>
      </w:r>
      <w:r w:rsidR="00FC62B1" w:rsidRPr="00634DF5">
        <w:t>s</w:t>
      </w:r>
      <w:r w:rsidRPr="00D96B11">
        <w:t xml:space="preserve"> CenterPoint Houston’s tariffs attached to the </w:t>
      </w:r>
      <w:r w:rsidR="00FC62B1" w:rsidRPr="00634DF5">
        <w:t>A</w:t>
      </w:r>
      <w:r w:rsidRPr="00634DF5">
        <w:t>greement</w:t>
      </w:r>
      <w:r w:rsidRPr="00D96B11">
        <w:t>.</w:t>
      </w:r>
    </w:p>
    <w:p w14:paraId="224E92CF" w14:textId="12557558" w:rsidR="002C5DC7" w:rsidRPr="00D96B11" w:rsidRDefault="00892FCA" w:rsidP="005E6D84">
      <w:pPr>
        <w:pStyle w:val="OrderingParagraph"/>
        <w:tabs>
          <w:tab w:val="clear" w:pos="720"/>
        </w:tabs>
      </w:pPr>
      <w:r w:rsidRPr="00D96B11">
        <w:t xml:space="preserve">The final rates approved in this Order are effective </w:t>
      </w:r>
      <w:r w:rsidR="00192662">
        <w:t xml:space="preserve">no earlier than </w:t>
      </w:r>
      <w:r w:rsidR="00C17B16">
        <w:t xml:space="preserve">the </w:t>
      </w:r>
      <w:r w:rsidR="003E25F0" w:rsidRPr="00634DF5">
        <w:t>4</w:t>
      </w:r>
      <w:r w:rsidR="00C17B16" w:rsidRPr="00634DF5">
        <w:t>6</w:t>
      </w:r>
      <w:r w:rsidR="00C17B16" w:rsidRPr="00634DF5">
        <w:rPr>
          <w:vertAlign w:val="superscript"/>
        </w:rPr>
        <w:t>th</w:t>
      </w:r>
      <w:r w:rsidR="00C17B16" w:rsidRPr="00634DF5">
        <w:t xml:space="preserve"> </w:t>
      </w:r>
      <w:r w:rsidR="003E25F0" w:rsidRPr="00634DF5">
        <w:t>day</w:t>
      </w:r>
      <w:r w:rsidR="003E25F0" w:rsidRPr="00D96B11">
        <w:t xml:space="preserve"> after the date of th</w:t>
      </w:r>
      <w:r w:rsidR="002108AA">
        <w:t>is Order</w:t>
      </w:r>
      <w:r w:rsidR="003E25F0" w:rsidRPr="00D96B11">
        <w:t>.</w:t>
      </w:r>
    </w:p>
    <w:p w14:paraId="10647470" w14:textId="771FD023" w:rsidR="00504DB3" w:rsidRPr="00634DF5" w:rsidRDefault="00504DB3" w:rsidP="005E6D84">
      <w:pPr>
        <w:pStyle w:val="OrderingParagraph"/>
        <w:tabs>
          <w:tab w:val="clear" w:pos="720"/>
        </w:tabs>
      </w:pPr>
      <w:r>
        <w:t xml:space="preserve">CenterPoint Houston </w:t>
      </w:r>
      <w:r w:rsidR="008E5C2D">
        <w:t>must provide notice of the approved rates to retail electric providers no later than the first working day after the date of the Commission final order approving the rates.</w:t>
      </w:r>
    </w:p>
    <w:p w14:paraId="59571B8D" w14:textId="4D9BCF44" w:rsidR="002C5DC7" w:rsidRPr="00D96B11" w:rsidRDefault="00892FCA" w:rsidP="005E6D84">
      <w:pPr>
        <w:pStyle w:val="OrderingParagraph"/>
        <w:tabs>
          <w:tab w:val="clear" w:pos="720"/>
        </w:tabs>
      </w:pPr>
      <w:r w:rsidRPr="00D96B11">
        <w:t>Within 20 days of the date of this Order, CenterPoint Houston must file a clean record copy of the approved tariffs to be stamped “Approved” by Central Records and retain</w:t>
      </w:r>
      <w:r w:rsidR="00A12125" w:rsidRPr="00D96B11">
        <w:t>ed</w:t>
      </w:r>
      <w:r w:rsidRPr="00D96B11">
        <w:t xml:space="preserve"> by the Commission.</w:t>
      </w:r>
    </w:p>
    <w:p w14:paraId="1A8F5E67" w14:textId="77777777" w:rsidR="002C5DC7" w:rsidRPr="00D96B11" w:rsidRDefault="00892FCA" w:rsidP="005E6D84">
      <w:pPr>
        <w:pStyle w:val="OrderingParagraph"/>
        <w:tabs>
          <w:tab w:val="clear" w:pos="720"/>
        </w:tabs>
      </w:pPr>
      <w:r w:rsidRPr="00D96B11">
        <w:t>CenterPoint Houston must serve copies of all tariff-related filings on all parties of record.</w:t>
      </w:r>
    </w:p>
    <w:p w14:paraId="5D5525D6" w14:textId="54F81BAA" w:rsidR="00861709" w:rsidRPr="00D96B11" w:rsidRDefault="00892FCA" w:rsidP="00770555">
      <w:pPr>
        <w:pStyle w:val="OrderingParagraph"/>
        <w:tabs>
          <w:tab w:val="clear" w:pos="720"/>
        </w:tabs>
      </w:pPr>
      <w:r>
        <w:t xml:space="preserve">CenterPoint Houston’s present wholesale and retail revenues of $2.305 billion </w:t>
      </w:r>
      <w:r w:rsidR="001E324D">
        <w:t>are</w:t>
      </w:r>
      <w:r>
        <w:t xml:space="preserve"> decreased by </w:t>
      </w:r>
      <w:r w:rsidRPr="00F25BA6">
        <w:t>$</w:t>
      </w:r>
      <w:r w:rsidR="00D47B67" w:rsidRPr="00D47B67">
        <w:t>44,153,511.</w:t>
      </w:r>
      <w:r w:rsidR="00D47B67" w:rsidRPr="00F25BA6">
        <w:t>40</w:t>
      </w:r>
      <w:r w:rsidRPr="00F25BA6">
        <w:t>,</w:t>
      </w:r>
      <w:r>
        <w:t xml:space="preserve"> plus an additional explicit reduction of </w:t>
      </w:r>
      <w:r w:rsidRPr="00F25BA6">
        <w:t>$2,424,013</w:t>
      </w:r>
      <w:r>
        <w:t xml:space="preserve"> to remove CEO compensation expense</w:t>
      </w:r>
      <w:r w:rsidR="20AF39F8">
        <w:t xml:space="preserve">, </w:t>
      </w:r>
      <w:r w:rsidR="2F64CD39">
        <w:t>for a total reduction of $</w:t>
      </w:r>
      <w:r w:rsidR="7800C83A">
        <w:t>46,</w:t>
      </w:r>
      <w:r w:rsidR="007B30F4" w:rsidRPr="007B30F4">
        <w:t>577,524.</w:t>
      </w:r>
      <w:r w:rsidR="007B30F4" w:rsidRPr="00F25BA6">
        <w:t>40</w:t>
      </w:r>
      <w:r w:rsidR="4E945BBE">
        <w:t>, as set out in Exhibit A to the Agreement</w:t>
      </w:r>
      <w:r>
        <w:t>.</w:t>
      </w:r>
    </w:p>
    <w:p w14:paraId="33CBABD1" w14:textId="73835D06" w:rsidR="008D0ADF" w:rsidRPr="00634DF5" w:rsidRDefault="00A365CF" w:rsidP="000926F1">
      <w:pPr>
        <w:pStyle w:val="OrderingParagraph"/>
        <w:tabs>
          <w:tab w:val="clear" w:pos="720"/>
        </w:tabs>
      </w:pPr>
      <w:r>
        <w:t xml:space="preserve">Within five working days after approval of the final order in this case, CenterPoint Houston will submit an application for a one-time refund of $5.2 million to retail </w:t>
      </w:r>
      <w:r w:rsidR="44645F35">
        <w:t>and wholesale customers allocated among functions and rate classes based on the agreed functional and class revenue requirement amounts</w:t>
      </w:r>
      <w:r w:rsidR="00D96361">
        <w:t xml:space="preserve"> consistent with Finding of Fact 58 above in an equalized percentage basis</w:t>
      </w:r>
      <w:r w:rsidR="215C1953">
        <w:t>.</w:t>
      </w:r>
      <w:r>
        <w:t xml:space="preserve"> CenterPoint Houston will use an existing </w:t>
      </w:r>
      <w:r>
        <w:lastRenderedPageBreak/>
        <w:t>SAC04 code to effectuate the refund</w:t>
      </w:r>
      <w:r w:rsidR="00E34913">
        <w:t>. CenterPoint Houston will</w:t>
      </w:r>
      <w:r>
        <w:t xml:space="preserve"> provide retail electric providers 45-day notice of the refund.</w:t>
      </w:r>
    </w:p>
    <w:p w14:paraId="666A3BD0" w14:textId="378732D1" w:rsidR="00861709" w:rsidRPr="00D96B11" w:rsidRDefault="00892FCA" w:rsidP="004448CB">
      <w:pPr>
        <w:pStyle w:val="OrderingParagraph"/>
        <w:tabs>
          <w:tab w:val="clear" w:pos="720"/>
        </w:tabs>
      </w:pPr>
      <w:r w:rsidRPr="00D96B11">
        <w:t xml:space="preserve">The revenue requirement approved by this Order shall be allocated </w:t>
      </w:r>
      <w:r w:rsidR="7074AB61">
        <w:t>as follows: $</w:t>
      </w:r>
      <w:r w:rsidR="008A5331" w:rsidRPr="008A5331">
        <w:t xml:space="preserve">653,511.40 </w:t>
      </w:r>
      <w:r w:rsidR="7074AB61">
        <w:t>will be directly allocated to the retail transmission customer class, and the remaining value, $45,924,013,</w:t>
      </w:r>
      <w:r>
        <w:t xml:space="preserve"> shall be allocated </w:t>
      </w:r>
      <w:r w:rsidRPr="00D96B11">
        <w:t>among retail customer classes and wholesale transmission such that each retail customer class and wholesale transmission receives the same percentage decrease from</w:t>
      </w:r>
      <w:r w:rsidR="00B47D14">
        <w:t xml:space="preserve"> </w:t>
      </w:r>
      <w:r w:rsidR="00E9483A">
        <w:t xml:space="preserve">the revenue </w:t>
      </w:r>
      <w:r w:rsidR="00A5644E">
        <w:t>collected from</w:t>
      </w:r>
      <w:r w:rsidRPr="00D96B11">
        <w:t xml:space="preserve"> present rates as shown </w:t>
      </w:r>
      <w:r w:rsidR="22696519">
        <w:t>in Exhibit B to the Agreement</w:t>
      </w:r>
      <w:r>
        <w:t>.</w:t>
      </w:r>
      <w:r w:rsidRPr="00D96B11">
        <w:t xml:space="preserve"> </w:t>
      </w:r>
    </w:p>
    <w:p w14:paraId="14859047" w14:textId="0A14C884" w:rsidR="00861709" w:rsidRPr="00D96B11" w:rsidRDefault="00733CC8" w:rsidP="000926F1">
      <w:pPr>
        <w:pStyle w:val="OrderingParagraph"/>
        <w:tabs>
          <w:tab w:val="clear" w:pos="720"/>
        </w:tabs>
      </w:pPr>
      <w:r>
        <w:t>For each retail customer class, CenterPoint Houston’s proposed customer and meter charges will be adopted. The distribution charge for each class will be designed so that the total revenue collected from the class’s customer, meter, and distribution charges would reflect the total revenue reduction allocated to that class as set forth in Exhibit B</w:t>
      </w:r>
      <w:r w:rsidR="00892FCA" w:rsidRPr="00D96B11">
        <w:t>. This will not include the Company’s proposal to update TCRF to reflect any changes in wholesale transmission rates approved by the Commission since the initial filing of this case and for changes in the TCRF allocation factors. The TCRF rider is not updated in this proceeding.</w:t>
      </w:r>
    </w:p>
    <w:p w14:paraId="0F82850B" w14:textId="7D388EBE" w:rsidR="00861709" w:rsidRPr="00D96B11" w:rsidRDefault="00892FCA" w:rsidP="000926F1">
      <w:pPr>
        <w:pStyle w:val="OrderingParagraph"/>
        <w:tabs>
          <w:tab w:val="clear" w:pos="720"/>
        </w:tabs>
      </w:pPr>
      <w:r w:rsidRPr="00D96B11">
        <w:t xml:space="preserve">CenterPoint Houston </w:t>
      </w:r>
      <w:r w:rsidR="001E324D" w:rsidRPr="00D96B11">
        <w:t>shall</w:t>
      </w:r>
      <w:r w:rsidRPr="00D96B11">
        <w:t xml:space="preserve"> have a weighted average cost of capital of </w:t>
      </w:r>
      <w:r w:rsidR="00D42F3A" w:rsidRPr="00F25BA6">
        <w:t>6.606</w:t>
      </w:r>
      <w:r w:rsidRPr="00F25BA6">
        <w:t>%</w:t>
      </w:r>
      <w:r w:rsidRPr="00D96B11">
        <w:t xml:space="preserve"> based upon an as filed </w:t>
      </w:r>
      <w:r w:rsidRPr="00F25BA6">
        <w:t>4.29%</w:t>
      </w:r>
      <w:r w:rsidRPr="00D96B11">
        <w:t xml:space="preserve"> cost of debt, an agreed </w:t>
      </w:r>
      <w:r w:rsidR="00034D00">
        <w:t>ROE</w:t>
      </w:r>
      <w:r w:rsidRPr="00D96B11">
        <w:t xml:space="preserve"> of </w:t>
      </w:r>
      <w:r w:rsidRPr="00F25BA6">
        <w:t>9.</w:t>
      </w:r>
      <w:r w:rsidR="322FAF22" w:rsidRPr="00F25BA6">
        <w:t>65</w:t>
      </w:r>
      <w:r w:rsidRPr="00D96B11">
        <w:t xml:space="preserve">%, and an agreed regulatory capital structure of </w:t>
      </w:r>
      <w:r w:rsidRPr="00F25BA6">
        <w:t>56.</w:t>
      </w:r>
      <w:r w:rsidR="7950C41F" w:rsidRPr="00F25BA6">
        <w:t>75</w:t>
      </w:r>
      <w:r w:rsidRPr="00F25BA6">
        <w:t>%</w:t>
      </w:r>
      <w:r w:rsidRPr="00D96B11">
        <w:t xml:space="preserve"> long-term debt and </w:t>
      </w:r>
      <w:r w:rsidRPr="00F25BA6">
        <w:t>43.</w:t>
      </w:r>
      <w:r w:rsidR="7DF867FA" w:rsidRPr="00F25BA6">
        <w:t>2</w:t>
      </w:r>
      <w:r w:rsidR="38F8325B" w:rsidRPr="00F25BA6">
        <w:t>5</w:t>
      </w:r>
      <w:r w:rsidRPr="00F25BA6">
        <w:t>%</w:t>
      </w:r>
      <w:r w:rsidRPr="00D96B11">
        <w:t xml:space="preserve"> equity.</w:t>
      </w:r>
    </w:p>
    <w:p w14:paraId="1D36BD0E" w14:textId="670D5F19" w:rsidR="00861709" w:rsidRPr="00D96B11" w:rsidRDefault="00892FCA" w:rsidP="000926F1">
      <w:pPr>
        <w:pStyle w:val="OrderingParagraph"/>
        <w:tabs>
          <w:tab w:val="clear" w:pos="720"/>
        </w:tabs>
      </w:pPr>
      <w:r w:rsidRPr="00D96B11">
        <w:t xml:space="preserve">The weighted average cost of capital, cost of debt, </w:t>
      </w:r>
      <w:r w:rsidR="00034D00">
        <w:t>ROE</w:t>
      </w:r>
      <w:r w:rsidRPr="00D96B11">
        <w:t>, and capital structure of CenterPoint Houston adopted in this Order appl</w:t>
      </w:r>
      <w:r w:rsidR="00034D00">
        <w:t>y</w:t>
      </w:r>
      <w:r w:rsidRPr="00D96B11">
        <w:t xml:space="preserve"> in all Commission proceedings or Commission filings requiring application of such items.</w:t>
      </w:r>
    </w:p>
    <w:p w14:paraId="7D15CA3F" w14:textId="0408043F" w:rsidR="00861709" w:rsidRPr="00D96B11" w:rsidRDefault="00892FCA" w:rsidP="000926F1">
      <w:pPr>
        <w:pStyle w:val="OrderingParagraph"/>
        <w:tabs>
          <w:tab w:val="clear" w:pos="720"/>
        </w:tabs>
      </w:pPr>
      <w:r w:rsidRPr="00D96B11">
        <w:t xml:space="preserve">CenterPoint Houston’s CWC </w:t>
      </w:r>
      <w:r w:rsidR="001E324D" w:rsidRPr="00D96B11">
        <w:t>is</w:t>
      </w:r>
      <w:r w:rsidRPr="00D96B11">
        <w:t xml:space="preserve"> reduced by $5,180,289 from the amount proposed in Schedule II-B-9, for a total CWC amount of $6,988,071.</w:t>
      </w:r>
    </w:p>
    <w:p w14:paraId="2B0A17F1" w14:textId="08D5530B" w:rsidR="00861709" w:rsidRPr="00D96B11" w:rsidRDefault="00892FCA" w:rsidP="000926F1">
      <w:pPr>
        <w:pStyle w:val="OrderingParagraph"/>
        <w:tabs>
          <w:tab w:val="clear" w:pos="720"/>
        </w:tabs>
      </w:pPr>
      <w:r w:rsidRPr="00D96B11">
        <w:t>The ringfencing provision set out in Ordering Paragraph No. 30 in the Final Order in Docket No. 49421 is modified to read: “CenterPoint Houston must maintain registrations with Moody’s and S&amp;P ratings agencies.”</w:t>
      </w:r>
    </w:p>
    <w:p w14:paraId="3D454308" w14:textId="202239A6" w:rsidR="00861709" w:rsidRPr="00D96B11" w:rsidRDefault="00892FCA" w:rsidP="000926F1">
      <w:pPr>
        <w:pStyle w:val="OrderingParagraph"/>
        <w:tabs>
          <w:tab w:val="clear" w:pos="720"/>
        </w:tabs>
      </w:pPr>
      <w:r w:rsidRPr="00D96B11">
        <w:lastRenderedPageBreak/>
        <w:t>The ringfencing provision set out in Ordering Paragraph No. 39 in the Final Order in Docket No. 49421 is modified to read: “CenterPoint Houston must notify the Commission if its credit issuer rating or corporate rating as rated by Moody’s or S&amp;P falls below investment-grade level.”</w:t>
      </w:r>
    </w:p>
    <w:p w14:paraId="25295284" w14:textId="11D6D7B1" w:rsidR="00861709" w:rsidRPr="00D96B11" w:rsidRDefault="00892FCA" w:rsidP="000926F1">
      <w:pPr>
        <w:pStyle w:val="OrderingParagraph"/>
        <w:tabs>
          <w:tab w:val="clear" w:pos="720"/>
        </w:tabs>
      </w:pPr>
      <w:r w:rsidRPr="00D96B11">
        <w:t xml:space="preserve">CenterPoint Houston </w:t>
      </w:r>
      <w:r w:rsidR="001E324D" w:rsidRPr="00D96B11">
        <w:t>may</w:t>
      </w:r>
      <w:r w:rsidRPr="00D96B11">
        <w:t xml:space="preserve"> not seek to recover from customers any costs incurred as a result of a bankruptcy of CenterPoint Energy, Inc. or any of its affiliates other than CenterPoint Houston or caused by a bankruptcy of CenterPoint Houston.</w:t>
      </w:r>
    </w:p>
    <w:p w14:paraId="3D4F45CE" w14:textId="63B96389" w:rsidR="00861709" w:rsidRPr="00D96B11" w:rsidRDefault="00892FCA" w:rsidP="000926F1">
      <w:pPr>
        <w:pStyle w:val="OrderingParagraph"/>
        <w:tabs>
          <w:tab w:val="clear" w:pos="720"/>
        </w:tabs>
      </w:pPr>
      <w:r w:rsidRPr="00D96B11">
        <w:t>No CenterPoint Houston assets may be pledged for or used to secure the debt of other entities.</w:t>
      </w:r>
    </w:p>
    <w:p w14:paraId="68DF7458" w14:textId="2090A096" w:rsidR="00861709" w:rsidRPr="00D96B11" w:rsidRDefault="00892FCA" w:rsidP="000926F1">
      <w:pPr>
        <w:pStyle w:val="OrderingParagraph"/>
        <w:tabs>
          <w:tab w:val="clear" w:pos="720"/>
        </w:tabs>
      </w:pPr>
      <w:r w:rsidRPr="00D96B11">
        <w:t xml:space="preserve">CenterPoint Houston’s requested gross plant in service of $17,795,166,166 through the end of the test year (December 31, 2023) is reduced by $10,000,000, as reflected on Exhibit </w:t>
      </w:r>
      <w:r w:rsidR="00B3448D">
        <w:t>D</w:t>
      </w:r>
      <w:r w:rsidR="00B3448D" w:rsidRPr="00D96B11">
        <w:t xml:space="preserve"> </w:t>
      </w:r>
      <w:r w:rsidRPr="00D96B11">
        <w:t>attached to the Settlement Agreement, along with the associated impacts to accumulated depreciation and ADIT.</w:t>
      </w:r>
    </w:p>
    <w:p w14:paraId="5F7F525F" w14:textId="31D47476" w:rsidR="00861709" w:rsidRPr="00D96B11" w:rsidRDefault="00892FCA" w:rsidP="000926F1">
      <w:pPr>
        <w:pStyle w:val="OrderingParagraph"/>
        <w:tabs>
          <w:tab w:val="clear" w:pos="720"/>
        </w:tabs>
      </w:pPr>
      <w:r w:rsidRPr="00D96B11">
        <w:t xml:space="preserve">CenterPoint Houston shall not seek recovery of, or a return on, the plant listed in Exhibit </w:t>
      </w:r>
      <w:r w:rsidR="00B3448D">
        <w:t>D</w:t>
      </w:r>
      <w:r w:rsidRPr="00D96B11">
        <w:t xml:space="preserve"> to the Settlement Agreement in any future proceeding.</w:t>
      </w:r>
    </w:p>
    <w:p w14:paraId="605EEBFC" w14:textId="038FFB93" w:rsidR="00861709" w:rsidRPr="00D96B11" w:rsidRDefault="00892FCA" w:rsidP="000926F1">
      <w:pPr>
        <w:pStyle w:val="OrderingParagraph"/>
        <w:tabs>
          <w:tab w:val="clear" w:pos="720"/>
        </w:tabs>
      </w:pPr>
      <w:r w:rsidRPr="00D96B11">
        <w:t>CenterPoint Houston shall reimburse Cities for rate case expenses incurred through the completion of this proceeding within 30 days of a final order issuance or receipt of invoices, whichever is later.</w:t>
      </w:r>
    </w:p>
    <w:p w14:paraId="348FFCFD" w14:textId="304E3B58" w:rsidR="00861709" w:rsidRPr="00D96B11" w:rsidRDefault="00892FCA" w:rsidP="000926F1">
      <w:pPr>
        <w:pStyle w:val="OrderingParagraph"/>
        <w:tabs>
          <w:tab w:val="clear" w:pos="720"/>
        </w:tabs>
      </w:pPr>
      <w:r w:rsidRPr="00D96B11">
        <w:t xml:space="preserve">CenterPoint Houston’s rate case expenses incurred through December 31, </w:t>
      </w:r>
      <w:r w:rsidR="00C0481C" w:rsidRPr="00D96B11">
        <w:t>2023,</w:t>
      </w:r>
      <w:r w:rsidRPr="00D96B11">
        <w:t xml:space="preserve"> shall be reduced by $145,000. For expenses incurred after December 31, 2023, CenterPoint Houston shall apply an equivalent percentage of 16.4% to determine the reduction amount for those expenses. </w:t>
      </w:r>
    </w:p>
    <w:p w14:paraId="12E9329B" w14:textId="77777777" w:rsidR="00861709" w:rsidRPr="00D96B11" w:rsidRDefault="00892FCA" w:rsidP="000926F1">
      <w:pPr>
        <w:pStyle w:val="OrderingParagraph"/>
        <w:tabs>
          <w:tab w:val="clear" w:pos="720"/>
        </w:tabs>
      </w:pPr>
      <w:r w:rsidRPr="00D96B11">
        <w:t xml:space="preserve">CenterPoint Houston shall reimburse Cities for their reasonable rate-case expenses associated with this proceeding, including amounts incurred during August 2024, September 2024, and October 2024. However, the Company will not seek recovery of its own or Cities’ rate-case expenses in connection with this proceeding incurred during the months of August 2024, September 2024, or October 2024, as these expenses are not reasonable and necessary for purposes of recovery from ratepayers. </w:t>
      </w:r>
    </w:p>
    <w:p w14:paraId="17471CBB" w14:textId="49BE064C" w:rsidR="00861709" w:rsidRPr="00D96B11" w:rsidRDefault="00256782" w:rsidP="000926F1">
      <w:pPr>
        <w:pStyle w:val="OrderingParagraph"/>
        <w:tabs>
          <w:tab w:val="clear" w:pos="720"/>
        </w:tabs>
      </w:pPr>
      <w:r>
        <w:lastRenderedPageBreak/>
        <w:t>Within 30 days</w:t>
      </w:r>
      <w:r w:rsidR="00C37D7F">
        <w:t xml:space="preserve"> of a final order </w:t>
      </w:r>
      <w:r w:rsidR="00220E44">
        <w:t xml:space="preserve">issuance </w:t>
      </w:r>
      <w:r w:rsidR="00735AFC">
        <w:t xml:space="preserve">in this proceeding </w:t>
      </w:r>
      <w:r w:rsidR="009760FB">
        <w:t xml:space="preserve">or receipt of invoices, </w:t>
      </w:r>
      <w:r w:rsidR="00A534E1">
        <w:t xml:space="preserve">whichever is later, </w:t>
      </w:r>
      <w:r w:rsidR="00892FCA" w:rsidRPr="00D96B11">
        <w:t xml:space="preserve">CenterPoint Houston shall reimburse Cities for their expenses incurred in CenterPoint’s </w:t>
      </w:r>
      <w:r w:rsidR="00642242">
        <w:t>SRP</w:t>
      </w:r>
      <w:r w:rsidR="00892FCA" w:rsidRPr="00D96B11">
        <w:t>, which it withdrew on August 1, 2024, in Docket No. 56548, Application of CenterPoint Energy Houston Electric, LLC for Approval of Its Transmission and Distribution System Resiliency Plans (Docket No. 56548) for the period of April 2024 through August</w:t>
      </w:r>
      <w:r w:rsidR="00C0481C">
        <w:t xml:space="preserve"> </w:t>
      </w:r>
      <w:r w:rsidR="00892FCA" w:rsidRPr="00D96B11">
        <w:t>2024.</w:t>
      </w:r>
    </w:p>
    <w:p w14:paraId="403EF748" w14:textId="4FD0F65F" w:rsidR="00892FCA" w:rsidRDefault="00892FCA" w:rsidP="2286E0EE">
      <w:pPr>
        <w:pStyle w:val="OrderingParagraph"/>
        <w:tabs>
          <w:tab w:val="clear" w:pos="720"/>
        </w:tabs>
      </w:pPr>
      <w:r w:rsidRPr="00D96B11">
        <w:t xml:space="preserve">CenterPoint Houston shall reimburse Cities for the reasonable </w:t>
      </w:r>
      <w:r w:rsidDel="00892FCA">
        <w:t>expense</w:t>
      </w:r>
      <w:r>
        <w:t>s</w:t>
      </w:r>
      <w:r w:rsidRPr="00D96B11">
        <w:t xml:space="preserve"> Cities incur in CenterPoint’s 2025 SRP proceeding, including Cities’ reasonable expenses incurred to monitor CenterPoint’s implementation of its SRP.</w:t>
      </w:r>
      <w:r w:rsidR="3CA447A2">
        <w:t xml:space="preserve"> </w:t>
      </w:r>
    </w:p>
    <w:p w14:paraId="3DFDDACD" w14:textId="5F59A5BA" w:rsidR="62AAB20F" w:rsidRDefault="6DB7E59A" w:rsidP="00A7735D">
      <w:pPr>
        <w:pStyle w:val="OrderingParagraph"/>
        <w:tabs>
          <w:tab w:val="clear" w:pos="720"/>
        </w:tabs>
      </w:pPr>
      <w:r>
        <w:t xml:space="preserve">CenterPoint Houston shall reimburse Cities for the reasonable expenses Cities incur in Docket No. 57271, </w:t>
      </w:r>
      <w:r w:rsidR="00F91879">
        <w:t xml:space="preserve">in </w:t>
      </w:r>
      <w:r w:rsidR="5ACFA2C8">
        <w:t>related finance-order filings, and in CenterPoint Houston’s future storm-restoration proceedings related to Hurricane Beryl, including the cost-determination filings and finance-order filings related to such proceedings.</w:t>
      </w:r>
    </w:p>
    <w:p w14:paraId="3F8783ED" w14:textId="65540124" w:rsidR="00861709" w:rsidRPr="00D96B11" w:rsidRDefault="00892FCA" w:rsidP="000926F1">
      <w:pPr>
        <w:pStyle w:val="OrderingParagraph"/>
        <w:tabs>
          <w:tab w:val="clear" w:pos="720"/>
        </w:tabs>
      </w:pPr>
      <w:r w:rsidRPr="00D96B11">
        <w:t xml:space="preserve">The rates adopted in Docket No. 53606 and updated in this proceeding are adopted on an interim basis and are subject to refund or surcharge to the extent appropriate based on the resolution of Project No. 54224. </w:t>
      </w:r>
    </w:p>
    <w:p w14:paraId="1D8AA80D" w14:textId="06E9CEDF" w:rsidR="00861709" w:rsidRPr="00D96B11" w:rsidRDefault="00892FCA" w:rsidP="000926F1">
      <w:pPr>
        <w:pStyle w:val="OrderingParagraph"/>
        <w:tabs>
          <w:tab w:val="clear" w:pos="720"/>
        </w:tabs>
      </w:pPr>
      <w:r w:rsidRPr="00D96B11">
        <w:t>CenterPoint Houston’s WTS rate shall be set using the Commission approved 2023</w:t>
      </w:r>
      <w:r w:rsidR="00642242">
        <w:t xml:space="preserve"> 4CP</w:t>
      </w:r>
      <w:r w:rsidRPr="00D96B11">
        <w:t xml:space="preserve"> value of 83,685,241.4 kW.</w:t>
      </w:r>
    </w:p>
    <w:p w14:paraId="560FE2B4" w14:textId="3752CAF1" w:rsidR="00861709" w:rsidRPr="00D96B11" w:rsidRDefault="00892FCA" w:rsidP="000926F1">
      <w:pPr>
        <w:pStyle w:val="OrderingParagraph"/>
        <w:tabs>
          <w:tab w:val="clear" w:pos="720"/>
        </w:tabs>
      </w:pPr>
      <w:r w:rsidRPr="00D96B11">
        <w:t>CenterPoint Houston shall adhere to AFUDC account requirements pursuant to the FERC</w:t>
      </w:r>
      <w:r w:rsidR="007573B8">
        <w:t xml:space="preserve"> </w:t>
      </w:r>
      <w:r w:rsidRPr="00D96B11">
        <w:t xml:space="preserve">Uniform System of Accounts (18 C.F.R., Part 101, Electric Plant Instruction No. 3(17)) and related precedent. </w:t>
      </w:r>
    </w:p>
    <w:p w14:paraId="3A790356" w14:textId="4B6BB066" w:rsidR="00861709" w:rsidRPr="00D96B11" w:rsidRDefault="00892FCA" w:rsidP="000926F1">
      <w:pPr>
        <w:pStyle w:val="OrderingParagraph"/>
        <w:tabs>
          <w:tab w:val="clear" w:pos="720"/>
        </w:tabs>
      </w:pPr>
      <w:r w:rsidRPr="00D96B11">
        <w:t>CenterPoint Houston shall discontinue rounding the AFUDC rate up to the next 0.25%, effective January 1, 2025.</w:t>
      </w:r>
    </w:p>
    <w:p w14:paraId="06A3FC83" w14:textId="7F6A95DB" w:rsidR="00861709" w:rsidRPr="00D96B11" w:rsidRDefault="00892FCA" w:rsidP="000926F1">
      <w:pPr>
        <w:pStyle w:val="OrderingParagraph"/>
        <w:tabs>
          <w:tab w:val="clear" w:pos="720"/>
        </w:tabs>
      </w:pPr>
      <w:r w:rsidRPr="00D96B11">
        <w:t xml:space="preserve">CenterPoint Houston shall implement </w:t>
      </w:r>
      <w:r w:rsidR="00C31E4A">
        <w:t xml:space="preserve">the </w:t>
      </w:r>
      <w:r w:rsidRPr="00D96B11">
        <w:t>Rider IRA</w:t>
      </w:r>
      <w:r w:rsidR="00C31E4A">
        <w:t>s</w:t>
      </w:r>
      <w:r w:rsidRPr="00D96B11">
        <w:t xml:space="preserve">, conditioned on the language in Finding of Fact </w:t>
      </w:r>
      <w:r w:rsidR="28BC16A6" w:rsidRPr="00F25BA6">
        <w:t>77</w:t>
      </w:r>
      <w:r w:rsidR="00C0481C" w:rsidRPr="00F25BA6">
        <w:t>.</w:t>
      </w:r>
    </w:p>
    <w:p w14:paraId="6466A156" w14:textId="7C9553BA" w:rsidR="004C3376" w:rsidRPr="00D96B11" w:rsidRDefault="004C3376" w:rsidP="000926F1">
      <w:pPr>
        <w:pStyle w:val="OrderingParagraph"/>
        <w:tabs>
          <w:tab w:val="clear" w:pos="720"/>
        </w:tabs>
      </w:pPr>
      <w:r w:rsidRPr="004C3376">
        <w:t>CenterPoint Houston</w:t>
      </w:r>
      <w:r>
        <w:t xml:space="preserve"> shall implement </w:t>
      </w:r>
      <w:r w:rsidR="006E757C">
        <w:t>the</w:t>
      </w:r>
      <w:r w:rsidRPr="004C3376">
        <w:t xml:space="preserve"> requested accounting treatment for third-party CCAs, as described in the Direct Testimony of CenterPoint Houston witness Kristie L. Colvin.</w:t>
      </w:r>
    </w:p>
    <w:p w14:paraId="15E80608" w14:textId="25A7F445" w:rsidR="007E3131" w:rsidRPr="00D96B11" w:rsidRDefault="00892FCA" w:rsidP="000926F1">
      <w:pPr>
        <w:pStyle w:val="OrderingParagraph"/>
        <w:tabs>
          <w:tab w:val="clear" w:pos="720"/>
        </w:tabs>
      </w:pPr>
      <w:r w:rsidRPr="00D96B11">
        <w:lastRenderedPageBreak/>
        <w:t xml:space="preserve">CenterPoint Houston shall continue to use current depreciation rates approved in Commission Docket No. 49421. </w:t>
      </w:r>
    </w:p>
    <w:p w14:paraId="278369F5" w14:textId="41CD37D5" w:rsidR="00861709" w:rsidRPr="00D96B11" w:rsidRDefault="00892FCA" w:rsidP="000926F1">
      <w:pPr>
        <w:pStyle w:val="OrderingParagraph"/>
        <w:tabs>
          <w:tab w:val="clear" w:pos="720"/>
        </w:tabs>
      </w:pPr>
      <w:r w:rsidRPr="00D96B11">
        <w:t xml:space="preserve">The allocation factors for future DCRF proceedings will be those stated in the Application (as modified by </w:t>
      </w:r>
      <w:r w:rsidR="00717026" w:rsidRPr="00634DF5">
        <w:t>the</w:t>
      </w:r>
      <w:r w:rsidRPr="00D96B11">
        <w:t xml:space="preserve"> Agreement).</w:t>
      </w:r>
    </w:p>
    <w:p w14:paraId="07E03D8F" w14:textId="750DF781" w:rsidR="00861709" w:rsidRPr="00D96B11" w:rsidRDefault="00CB5F82" w:rsidP="000926F1">
      <w:pPr>
        <w:pStyle w:val="OrderingParagraph"/>
        <w:tabs>
          <w:tab w:val="clear" w:pos="720"/>
        </w:tabs>
      </w:pPr>
      <w:r w:rsidRPr="00634DF5">
        <w:t>No later than</w:t>
      </w:r>
      <w:r w:rsidR="00892FCA" w:rsidRPr="00D96B11">
        <w:t xml:space="preserve"> May 1, 2025, CenterPoint Houston shall issue the moratorium on disconnections for nonpayment (“DNP”) due to extreme weather events by county rather than for its entire service area. Additionally, CenterPoint Houston shall only implement DNP moratoriums consistent with PUC rules and the Company’s tariff.</w:t>
      </w:r>
    </w:p>
    <w:p w14:paraId="48E222DF" w14:textId="40262931" w:rsidR="00861709" w:rsidRPr="00D96B11" w:rsidRDefault="00892FCA" w:rsidP="000926F1">
      <w:pPr>
        <w:pStyle w:val="OrderingParagraph"/>
        <w:tabs>
          <w:tab w:val="clear" w:pos="720"/>
        </w:tabs>
      </w:pPr>
      <w:r w:rsidRPr="00D96B11">
        <w:t>CenterPoint Houston shall post current rates and any pending rate change requests on a publicly available location in the competitive retailer section of CenterPoint Houston’s website, include the current rates for all customer classes, and be posted in a chart format.</w:t>
      </w:r>
    </w:p>
    <w:p w14:paraId="38BA0E1B" w14:textId="5D16680D" w:rsidR="00861709" w:rsidRPr="00D96B11" w:rsidRDefault="00E07692" w:rsidP="000926F1">
      <w:pPr>
        <w:pStyle w:val="OrderingParagraph"/>
        <w:tabs>
          <w:tab w:val="clear" w:pos="720"/>
        </w:tabs>
      </w:pPr>
      <w:r>
        <w:t xml:space="preserve">CenterPoint Houston agreed to return an online outage tracker map to operating within 30 days of the date of the Agreement.  </w:t>
      </w:r>
      <w:r w:rsidR="00892FCA" w:rsidRPr="00D96B11">
        <w:t xml:space="preserve">CenterPoint Houston shall </w:t>
      </w:r>
      <w:r w:rsidR="00892FCA" w:rsidRPr="00104DDB">
        <w:t>file a report with the Commission providing the performance time of its outage tracker following any system outage involving more than 250,000 customers.</w:t>
      </w:r>
    </w:p>
    <w:p w14:paraId="0D25F97C" w14:textId="26E0FA0C" w:rsidR="00861709" w:rsidRPr="00104DDB" w:rsidRDefault="00EB09BC" w:rsidP="000926F1">
      <w:pPr>
        <w:pStyle w:val="OrderingParagraph"/>
        <w:tabs>
          <w:tab w:val="clear" w:pos="720"/>
        </w:tabs>
      </w:pPr>
      <w:r>
        <w:t>If the pending DCRF is approved before the approval of a final order in this case, CenterPoint Houston shall revise the DCRF rates in effect at the time the final order in this case is approved to reflect removal of any duplicative amounts in base rates that would otherwise be recovered in such DCRF.  Any such update will be implemented to DCRF rates at the same time final rates from this rate case are implemented</w:t>
      </w:r>
      <w:r w:rsidR="00892FCA" w:rsidRPr="00104DDB">
        <w:t>.</w:t>
      </w:r>
    </w:p>
    <w:p w14:paraId="5223D25E" w14:textId="5937ED5E" w:rsidR="00861709" w:rsidRPr="00D96B11" w:rsidRDefault="00892FCA" w:rsidP="000926F1">
      <w:pPr>
        <w:pStyle w:val="OrderingParagraph"/>
        <w:tabs>
          <w:tab w:val="clear" w:pos="720"/>
        </w:tabs>
      </w:pPr>
      <w:r w:rsidRPr="00D96B11">
        <w:t>By June 30, 2025, CenterPoint Houston will host a collaborative working group, open to relevant entities including the Port of Houston and other relevant municipal entities, to discuss implementation of Phase 1 of the National Zero-Emission Freight Corridor Strategy. At this discussion, CenterPoint Houston will provide an analysis of each of the locations within CenterPoint Houston’s territory identified as a Phase 1 hub location</w:t>
      </w:r>
      <w:r w:rsidR="00EC58C4">
        <w:t xml:space="preserve"> as of December 31, 2024</w:t>
      </w:r>
      <w:r w:rsidRPr="00D96B11">
        <w:t xml:space="preserve">, including for each Principal Port site (i) projected magnitude </w:t>
      </w:r>
      <w:r w:rsidRPr="00D96B11">
        <w:lastRenderedPageBreak/>
        <w:t>and timing of loads, and (ii) anticipated distribution system investments needed to serve such loads.</w:t>
      </w:r>
    </w:p>
    <w:p w14:paraId="434A5317" w14:textId="77777777" w:rsidR="00861709" w:rsidRPr="00D96B11" w:rsidRDefault="00892FCA" w:rsidP="000926F1">
      <w:pPr>
        <w:pStyle w:val="OrderingParagraph"/>
        <w:tabs>
          <w:tab w:val="clear" w:pos="720"/>
        </w:tabs>
      </w:pPr>
      <w:r w:rsidRPr="00D96B11">
        <w:t>CenterPoint Houston will host a collaborative working group, open to interested external stakeholders including municipal entities, regional and state planning entities, fleets, charging providers (e.g., EVSEs, charging-as-a-service providers, OEMs), and nonprofits to incorporate electric vehicle load growth into distribution system planning, deployment, and operation. This working group will meet at least once per year.</w:t>
      </w:r>
    </w:p>
    <w:p w14:paraId="74206971" w14:textId="7E114C4E" w:rsidR="00861709" w:rsidRPr="00D96B11" w:rsidRDefault="00892FCA" w:rsidP="000926F1">
      <w:pPr>
        <w:pStyle w:val="OrderingParagraph"/>
        <w:tabs>
          <w:tab w:val="clear" w:pos="720"/>
        </w:tabs>
      </w:pPr>
      <w:r w:rsidRPr="00D96B11">
        <w:t xml:space="preserve">By December 31, 2025, CenterPoint Houston will produce a public report that identifies technological, security, and other potential barriers to </w:t>
      </w:r>
      <w:r w:rsidR="006E7ABF">
        <w:t>publishing publicly</w:t>
      </w:r>
      <w:r w:rsidR="00B715F0" w:rsidRPr="00634DF5">
        <w:t xml:space="preserve"> available</w:t>
      </w:r>
      <w:r w:rsidR="006E7ABF">
        <w:t xml:space="preserve"> hosting capacity data, and the Company’s plans and estimated associated implementation costs to work to overcome those barriers</w:t>
      </w:r>
      <w:r w:rsidRPr="00D96B11">
        <w:t>.</w:t>
      </w:r>
    </w:p>
    <w:p w14:paraId="5A7859BA" w14:textId="184D9A2D" w:rsidR="0058585A" w:rsidRPr="00D96B11" w:rsidRDefault="00892FCA" w:rsidP="000926F1">
      <w:pPr>
        <w:pStyle w:val="OrderingParagraph"/>
        <w:tabs>
          <w:tab w:val="clear" w:pos="720"/>
        </w:tabs>
      </w:pPr>
      <w:r w:rsidRPr="00D96B11">
        <w:t>Entry of this Order does not indicate the Commission’s endorsement or approval of any principle or methodology that may underlie the agreement and must not be regarded as precedential as to the appropriateness of any principle or methodology underlying the agreement.</w:t>
      </w:r>
    </w:p>
    <w:p w14:paraId="76D1C634" w14:textId="22FB02D3" w:rsidR="007821C9" w:rsidRPr="00D96B11" w:rsidRDefault="00892FCA" w:rsidP="000926F1">
      <w:pPr>
        <w:pStyle w:val="OrderingParagraph"/>
        <w:tabs>
          <w:tab w:val="clear" w:pos="720"/>
        </w:tabs>
      </w:pPr>
      <w:r w:rsidRPr="00D96B11">
        <w:t>The Commission denies all other motions and any other requests for general or specific relief that are not expressly granted.</w:t>
      </w:r>
    </w:p>
    <w:p w14:paraId="68ADBDBD" w14:textId="5A6137BC" w:rsidR="00176311" w:rsidRDefault="00892FCA" w:rsidP="00C1584B">
      <w:r>
        <w:br w:type="page"/>
      </w:r>
    </w:p>
    <w:p w14:paraId="3FA5FEFC" w14:textId="77777777" w:rsidR="00176311" w:rsidRPr="00176311" w:rsidRDefault="00176311" w:rsidP="00C1584B"/>
    <w:p w14:paraId="12602BAE" w14:textId="5E466949" w:rsidR="00C35F02" w:rsidRDefault="00892FCA" w:rsidP="00C35F02">
      <w:pPr>
        <w:spacing w:after="360" w:line="240" w:lineRule="auto"/>
        <w:jc w:val="center"/>
        <w:rPr>
          <w:rFonts w:eastAsia="Times New Roman"/>
          <w:b/>
          <w:bCs/>
        </w:rPr>
      </w:pPr>
      <w:r>
        <w:rPr>
          <w:rFonts w:eastAsia="Times New Roman"/>
          <w:b/>
          <w:bCs/>
        </w:rPr>
        <w:t>Signed at Austin, Texas the _____ day of __________________, 2025.</w:t>
      </w:r>
    </w:p>
    <w:p w14:paraId="0E785FFF" w14:textId="77777777" w:rsidR="00C35F02" w:rsidRDefault="00892FCA" w:rsidP="00C35F02">
      <w:pPr>
        <w:tabs>
          <w:tab w:val="left" w:pos="3510"/>
        </w:tabs>
        <w:spacing w:after="360" w:line="240" w:lineRule="auto"/>
        <w:rPr>
          <w:rFonts w:eastAsia="Times New Roman"/>
          <w:b/>
          <w:bCs/>
        </w:rPr>
      </w:pPr>
      <w:r>
        <w:rPr>
          <w:rFonts w:eastAsia="Times New Roman"/>
          <w:b/>
          <w:bCs/>
        </w:rPr>
        <w:tab/>
        <w:t>PUBLIC UTILITY COMMISSION OF TEXAS</w:t>
      </w:r>
    </w:p>
    <w:p w14:paraId="3B076C70" w14:textId="77777777" w:rsidR="00C35F02" w:rsidRDefault="00892FCA" w:rsidP="00C35F02">
      <w:pPr>
        <w:tabs>
          <w:tab w:val="left" w:pos="3600"/>
        </w:tabs>
        <w:spacing w:line="240" w:lineRule="auto"/>
        <w:rPr>
          <w:rFonts w:eastAsia="Times New Roman"/>
          <w:b/>
          <w:bCs/>
        </w:rPr>
      </w:pPr>
      <w:r>
        <w:rPr>
          <w:rFonts w:eastAsia="Times New Roman"/>
          <w:b/>
          <w:bCs/>
        </w:rPr>
        <w:tab/>
        <w:t>_________________________________________</w:t>
      </w:r>
    </w:p>
    <w:p w14:paraId="26D7E45F" w14:textId="77777777" w:rsidR="00C35F02" w:rsidRDefault="00892FCA" w:rsidP="00C35F02">
      <w:pPr>
        <w:tabs>
          <w:tab w:val="left" w:pos="3600"/>
        </w:tabs>
        <w:spacing w:line="240" w:lineRule="auto"/>
        <w:rPr>
          <w:rFonts w:eastAsia="Times New Roman"/>
          <w:b/>
          <w:bCs/>
        </w:rPr>
      </w:pPr>
      <w:r>
        <w:rPr>
          <w:rFonts w:eastAsia="Times New Roman"/>
          <w:b/>
          <w:bCs/>
        </w:rPr>
        <w:tab/>
        <w:t>THOMAS GLEESON, CHAIRMAN</w:t>
      </w:r>
    </w:p>
    <w:p w14:paraId="4360E8A1" w14:textId="77777777" w:rsidR="00C35F02" w:rsidRDefault="00C35F02" w:rsidP="00C35F02">
      <w:pPr>
        <w:tabs>
          <w:tab w:val="left" w:pos="3600"/>
        </w:tabs>
        <w:spacing w:line="240" w:lineRule="auto"/>
        <w:rPr>
          <w:rFonts w:eastAsia="Times New Roman"/>
          <w:b/>
          <w:bCs/>
        </w:rPr>
      </w:pPr>
    </w:p>
    <w:p w14:paraId="20A3EC43" w14:textId="216A4E76" w:rsidR="00C35F02" w:rsidRDefault="00892FCA" w:rsidP="00C35F02">
      <w:pPr>
        <w:tabs>
          <w:tab w:val="left" w:pos="3600"/>
        </w:tabs>
        <w:spacing w:line="240" w:lineRule="auto"/>
        <w:rPr>
          <w:rFonts w:eastAsia="Times New Roman"/>
          <w:b/>
          <w:bCs/>
        </w:rPr>
      </w:pPr>
      <w:r>
        <w:rPr>
          <w:rFonts w:eastAsia="Times New Roman"/>
          <w:b/>
          <w:bCs/>
        </w:rPr>
        <w:tab/>
        <w:t>_________________________________________</w:t>
      </w:r>
    </w:p>
    <w:p w14:paraId="4BAB88F3" w14:textId="77777777" w:rsidR="00C35F02" w:rsidRDefault="00892FCA" w:rsidP="00C35F02">
      <w:pPr>
        <w:tabs>
          <w:tab w:val="left" w:pos="3600"/>
        </w:tabs>
        <w:spacing w:line="240" w:lineRule="auto"/>
        <w:rPr>
          <w:rFonts w:eastAsia="Times New Roman"/>
          <w:b/>
          <w:bCs/>
        </w:rPr>
      </w:pPr>
      <w:r>
        <w:rPr>
          <w:rFonts w:eastAsia="Times New Roman"/>
          <w:b/>
          <w:bCs/>
        </w:rPr>
        <w:tab/>
        <w:t>KATHLEEN JACKSON, COMMISSIONER</w:t>
      </w:r>
    </w:p>
    <w:p w14:paraId="0EB1BE7A" w14:textId="77777777" w:rsidR="00C35F02" w:rsidRDefault="00C35F02" w:rsidP="00C35F02">
      <w:pPr>
        <w:tabs>
          <w:tab w:val="left" w:pos="3600"/>
        </w:tabs>
        <w:spacing w:line="240" w:lineRule="auto"/>
        <w:rPr>
          <w:rFonts w:eastAsia="Times New Roman"/>
          <w:b/>
          <w:bCs/>
        </w:rPr>
      </w:pPr>
    </w:p>
    <w:p w14:paraId="53E50CE2" w14:textId="77777777" w:rsidR="00C35F02" w:rsidRDefault="00892FCA" w:rsidP="00C35F02">
      <w:pPr>
        <w:tabs>
          <w:tab w:val="left" w:pos="3600"/>
        </w:tabs>
        <w:spacing w:line="240" w:lineRule="auto"/>
        <w:rPr>
          <w:rFonts w:eastAsia="Times New Roman"/>
          <w:b/>
          <w:bCs/>
        </w:rPr>
      </w:pPr>
      <w:r>
        <w:rPr>
          <w:rFonts w:eastAsia="Times New Roman"/>
          <w:b/>
          <w:bCs/>
        </w:rPr>
        <w:tab/>
        <w:t>_________________________________________</w:t>
      </w:r>
    </w:p>
    <w:p w14:paraId="152C2DA5" w14:textId="77777777" w:rsidR="00C35F02" w:rsidRDefault="00892FCA" w:rsidP="00C35F02">
      <w:pPr>
        <w:tabs>
          <w:tab w:val="left" w:pos="3600"/>
        </w:tabs>
        <w:spacing w:line="240" w:lineRule="auto"/>
        <w:rPr>
          <w:rFonts w:eastAsia="Times New Roman"/>
          <w:b/>
          <w:bCs/>
        </w:rPr>
      </w:pPr>
      <w:r>
        <w:rPr>
          <w:rFonts w:eastAsia="Times New Roman"/>
          <w:b/>
          <w:bCs/>
        </w:rPr>
        <w:tab/>
        <w:t>COURTNEY HJALTMAN, COMMISSIONER</w:t>
      </w:r>
    </w:p>
    <w:p w14:paraId="5ADFC9DD" w14:textId="77777777" w:rsidR="00C35F02" w:rsidRDefault="00892FCA" w:rsidP="00C35F02">
      <w:pPr>
        <w:tabs>
          <w:tab w:val="left" w:pos="3600"/>
        </w:tabs>
        <w:spacing w:line="240" w:lineRule="auto"/>
        <w:rPr>
          <w:rFonts w:eastAsia="Times New Roman"/>
          <w:b/>
          <w:bCs/>
        </w:rPr>
      </w:pPr>
      <w:r>
        <w:rPr>
          <w:rFonts w:eastAsia="Times New Roman"/>
          <w:b/>
          <w:bCs/>
        </w:rPr>
        <w:tab/>
      </w:r>
    </w:p>
    <w:p w14:paraId="5EA41152" w14:textId="77777777" w:rsidR="002C5DC7" w:rsidRPr="003D27D1" w:rsidRDefault="002C5DC7" w:rsidP="00C1584B"/>
    <w:sectPr w:rsidR="002C5DC7" w:rsidRPr="003D27D1">
      <w:headerReference w:type="even" r:id="rId12"/>
      <w:headerReference w:type="default" r:id="rId13"/>
      <w:footerReference w:type="even"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55F2E" w14:textId="77777777" w:rsidR="000D643C" w:rsidRDefault="000D643C" w:rsidP="00C1584B">
      <w:r>
        <w:separator/>
      </w:r>
    </w:p>
    <w:p w14:paraId="48B13A5B" w14:textId="77777777" w:rsidR="000D643C" w:rsidRDefault="000D643C" w:rsidP="00C1584B"/>
  </w:endnote>
  <w:endnote w:type="continuationSeparator" w:id="0">
    <w:p w14:paraId="15316815" w14:textId="77777777" w:rsidR="000D643C" w:rsidRDefault="000D643C" w:rsidP="00C1584B">
      <w:r>
        <w:continuationSeparator/>
      </w:r>
    </w:p>
    <w:p w14:paraId="237297E4" w14:textId="77777777" w:rsidR="000D643C" w:rsidRDefault="000D643C" w:rsidP="00C1584B"/>
  </w:endnote>
  <w:endnote w:type="continuationNotice" w:id="1">
    <w:p w14:paraId="0A161986" w14:textId="77777777" w:rsidR="000D643C" w:rsidRDefault="000D643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BC028" w14:textId="77777777" w:rsidR="00D55C66" w:rsidRDefault="00D55C66" w:rsidP="00C1584B">
    <w:pPr>
      <w:pStyle w:val="Footer"/>
    </w:pPr>
  </w:p>
  <w:p w14:paraId="4052A633" w14:textId="77777777" w:rsidR="002C64D5" w:rsidRDefault="002C64D5" w:rsidP="00C158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6313425"/>
      <w:docPartObj>
        <w:docPartGallery w:val="Page Numbers (Bottom of Page)"/>
        <w:docPartUnique/>
      </w:docPartObj>
    </w:sdtPr>
    <w:sdtEndPr>
      <w:rPr>
        <w:noProof/>
      </w:rPr>
    </w:sdtEndPr>
    <w:sdtContent>
      <w:p w14:paraId="567B408A" w14:textId="0E36A310" w:rsidR="000F7845" w:rsidRDefault="00892FCA" w:rsidP="00620FA4">
        <w:pPr>
          <w:pStyle w:val="Footer"/>
          <w:jc w:val="center"/>
        </w:pPr>
        <w:r w:rsidRPr="000631A9">
          <w:fldChar w:fldCharType="begin"/>
        </w:r>
        <w:r w:rsidRPr="000631A9">
          <w:instrText xml:space="preserve"> PAGE   \* MERGEFORMAT </w:instrText>
        </w:r>
        <w:r w:rsidRPr="000631A9">
          <w:fldChar w:fldCharType="separate"/>
        </w:r>
        <w:r>
          <w:rPr>
            <w:noProof/>
          </w:rPr>
          <w:t>1</w:t>
        </w:r>
        <w:r w:rsidRPr="000631A9">
          <w:rPr>
            <w:noProof/>
          </w:rPr>
          <w:fldChar w:fldCharType="end"/>
        </w:r>
      </w:p>
    </w:sdtContent>
  </w:sdt>
  <w:p w14:paraId="3C5BDAD4" w14:textId="77777777" w:rsidR="002C64D5" w:rsidRDefault="002C64D5" w:rsidP="00C158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FC1EA" w14:textId="77777777" w:rsidR="000D643C" w:rsidRDefault="000D643C" w:rsidP="00C1584B">
      <w:r>
        <w:separator/>
      </w:r>
    </w:p>
    <w:p w14:paraId="796EE899" w14:textId="77777777" w:rsidR="000D643C" w:rsidRDefault="000D643C" w:rsidP="00C1584B"/>
  </w:footnote>
  <w:footnote w:type="continuationSeparator" w:id="0">
    <w:p w14:paraId="1E016EEC" w14:textId="77777777" w:rsidR="000D643C" w:rsidRDefault="000D643C" w:rsidP="00C1584B">
      <w:r>
        <w:continuationSeparator/>
      </w:r>
    </w:p>
    <w:p w14:paraId="38092628" w14:textId="77777777" w:rsidR="000D643C" w:rsidRDefault="000D643C" w:rsidP="00C1584B"/>
  </w:footnote>
  <w:footnote w:type="continuationNotice" w:id="1">
    <w:p w14:paraId="5620E91D" w14:textId="77777777" w:rsidR="000D643C" w:rsidRDefault="000D643C">
      <w:pPr>
        <w:spacing w:before="0" w:line="240" w:lineRule="auto"/>
      </w:pPr>
    </w:p>
  </w:footnote>
  <w:footnote w:id="2">
    <w:p w14:paraId="510FA160" w14:textId="169335DC" w:rsidR="00262431" w:rsidRPr="00262431" w:rsidRDefault="00892FCA" w:rsidP="00262431">
      <w:pPr>
        <w:pStyle w:val="FootnoteText"/>
        <w:ind w:firstLine="720"/>
      </w:pPr>
      <w:r>
        <w:rPr>
          <w:rStyle w:val="FootnoteReference"/>
        </w:rPr>
        <w:footnoteRef/>
      </w:r>
      <w:r>
        <w:t xml:space="preserve">  </w:t>
      </w:r>
      <w:r>
        <w:rPr>
          <w:i/>
          <w:iCs/>
        </w:rPr>
        <w:t>Application of CenterPoint Energy Houston Electric, LLC for Authority to Change Rates</w:t>
      </w:r>
      <w:r>
        <w:t>, Docket No. 49421, Order (Mar. 9, 2020).</w:t>
      </w:r>
    </w:p>
  </w:footnote>
  <w:footnote w:id="3">
    <w:p w14:paraId="5E022E9E" w14:textId="60F58871" w:rsidR="006B6283" w:rsidRPr="00262431" w:rsidRDefault="00892FCA" w:rsidP="006B6283">
      <w:pPr>
        <w:pStyle w:val="FootnoteText"/>
        <w:ind w:firstLine="720"/>
      </w:pPr>
      <w:r>
        <w:rPr>
          <w:rStyle w:val="FootnoteReference"/>
        </w:rPr>
        <w:footnoteRef/>
      </w:r>
      <w:r>
        <w:t xml:space="preserve">  </w:t>
      </w:r>
      <w:r>
        <w:rPr>
          <w:i/>
          <w:iCs/>
        </w:rPr>
        <w:t>Commission Staff’s Petition to Set 2024 Wholesale Transmission Service Charges for the Electric Reliability Council of Texas Inc.</w:t>
      </w:r>
      <w:r>
        <w:t>, Docket No. 56050, Order (May 16, 2020).</w:t>
      </w:r>
    </w:p>
  </w:footnote>
  <w:footnote w:id="4">
    <w:p w14:paraId="28380B9E" w14:textId="77777777" w:rsidR="008552B3" w:rsidRDefault="008552B3" w:rsidP="008552B3">
      <w:pPr>
        <w:pStyle w:val="FootnoteText"/>
      </w:pPr>
      <w:r>
        <w:rPr>
          <w:rStyle w:val="FootnoteReference"/>
        </w:rPr>
        <w:footnoteRef/>
      </w:r>
      <w:r>
        <w:t xml:space="preserve"> Public Utility Regulatory Act, Tex. Util. Code §§ 11.001 – 66.016 (PURA).</w:t>
      </w:r>
    </w:p>
  </w:footnote>
  <w:footnote w:id="5">
    <w:p w14:paraId="27F99B73" w14:textId="17F19EE5" w:rsidR="000F7845" w:rsidRPr="00E33AC4" w:rsidRDefault="00892FCA" w:rsidP="00C1584B">
      <w:pPr>
        <w:pStyle w:val="FootnoteText"/>
      </w:pPr>
      <w:r w:rsidRPr="00093685">
        <w:rPr>
          <w:rStyle w:val="FootnoteReference"/>
        </w:rPr>
        <w:footnoteRef/>
      </w:r>
      <w:r w:rsidRPr="00093685">
        <w:t xml:space="preserve"> </w:t>
      </w:r>
      <w:r>
        <w:t>Administrative Procedure Act, Tex. Gov’t Code § 2001.001 -.902.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46378" w14:textId="77777777" w:rsidR="00D55C66" w:rsidRDefault="00D55C66" w:rsidP="00C1584B">
    <w:pPr>
      <w:pStyle w:val="Header"/>
    </w:pPr>
  </w:p>
  <w:p w14:paraId="4C933C91" w14:textId="77777777" w:rsidR="002C64D5" w:rsidRDefault="002C64D5" w:rsidP="00C158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F8CA" w14:textId="77777777" w:rsidR="00D55C66" w:rsidRDefault="00D55C66" w:rsidP="00C1584B">
    <w:pPr>
      <w:pStyle w:val="Header"/>
    </w:pPr>
  </w:p>
  <w:p w14:paraId="471EB66A" w14:textId="77777777" w:rsidR="002C64D5" w:rsidRDefault="002C64D5" w:rsidP="00C158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3EBD"/>
    <w:multiLevelType w:val="hybridMultilevel"/>
    <w:tmpl w:val="54BE9466"/>
    <w:lvl w:ilvl="0" w:tplc="9B3E0206">
      <w:start w:val="1"/>
      <w:numFmt w:val="decimal"/>
      <w:lvlText w:val="%1."/>
      <w:lvlJc w:val="left"/>
      <w:pPr>
        <w:ind w:left="450" w:hanging="360"/>
      </w:pPr>
      <w:rPr>
        <w:rFonts w:ascii="Times New Roman" w:hAnsi="Times New Roman" w:cs="Times New Roman" w:hint="default"/>
        <w:b w:val="0"/>
        <w:i w:val="0"/>
        <w:sz w:val="24"/>
        <w:szCs w:val="24"/>
      </w:rPr>
    </w:lvl>
    <w:lvl w:ilvl="1" w:tplc="E1F2936C">
      <w:start w:val="1"/>
      <w:numFmt w:val="lowerLetter"/>
      <w:lvlText w:val="%2."/>
      <w:lvlJc w:val="left"/>
      <w:pPr>
        <w:ind w:left="1440" w:hanging="360"/>
      </w:pPr>
    </w:lvl>
    <w:lvl w:ilvl="2" w:tplc="3F4249D2" w:tentative="1">
      <w:start w:val="1"/>
      <w:numFmt w:val="lowerRoman"/>
      <w:lvlText w:val="%3."/>
      <w:lvlJc w:val="right"/>
      <w:pPr>
        <w:ind w:left="2160" w:hanging="180"/>
      </w:pPr>
    </w:lvl>
    <w:lvl w:ilvl="3" w:tplc="6C928CA4" w:tentative="1">
      <w:start w:val="1"/>
      <w:numFmt w:val="decimal"/>
      <w:lvlText w:val="%4."/>
      <w:lvlJc w:val="left"/>
      <w:pPr>
        <w:ind w:left="2880" w:hanging="360"/>
      </w:pPr>
    </w:lvl>
    <w:lvl w:ilvl="4" w:tplc="DFF2F7E0" w:tentative="1">
      <w:start w:val="1"/>
      <w:numFmt w:val="lowerLetter"/>
      <w:lvlText w:val="%5."/>
      <w:lvlJc w:val="left"/>
      <w:pPr>
        <w:ind w:left="3600" w:hanging="360"/>
      </w:pPr>
    </w:lvl>
    <w:lvl w:ilvl="5" w:tplc="D8DAA944" w:tentative="1">
      <w:start w:val="1"/>
      <w:numFmt w:val="lowerRoman"/>
      <w:lvlText w:val="%6."/>
      <w:lvlJc w:val="right"/>
      <w:pPr>
        <w:ind w:left="4320" w:hanging="180"/>
      </w:pPr>
    </w:lvl>
    <w:lvl w:ilvl="6" w:tplc="0246752E" w:tentative="1">
      <w:start w:val="1"/>
      <w:numFmt w:val="decimal"/>
      <w:lvlText w:val="%7."/>
      <w:lvlJc w:val="left"/>
      <w:pPr>
        <w:ind w:left="5040" w:hanging="360"/>
      </w:pPr>
    </w:lvl>
    <w:lvl w:ilvl="7" w:tplc="FFA4F25E" w:tentative="1">
      <w:start w:val="1"/>
      <w:numFmt w:val="lowerLetter"/>
      <w:lvlText w:val="%8."/>
      <w:lvlJc w:val="left"/>
      <w:pPr>
        <w:ind w:left="5760" w:hanging="360"/>
      </w:pPr>
    </w:lvl>
    <w:lvl w:ilvl="8" w:tplc="8D18622A" w:tentative="1">
      <w:start w:val="1"/>
      <w:numFmt w:val="lowerRoman"/>
      <w:lvlText w:val="%9."/>
      <w:lvlJc w:val="right"/>
      <w:pPr>
        <w:ind w:left="6480" w:hanging="180"/>
      </w:pPr>
    </w:lvl>
  </w:abstractNum>
  <w:abstractNum w:abstractNumId="1" w15:restartNumberingAfterBreak="0">
    <w:nsid w:val="05AE6F68"/>
    <w:multiLevelType w:val="hybridMultilevel"/>
    <w:tmpl w:val="9D4CDFAE"/>
    <w:lvl w:ilvl="0" w:tplc="AFEA235A">
      <w:start w:val="1"/>
      <w:numFmt w:val="decimal"/>
      <w:lvlText w:val="%1."/>
      <w:lvlJc w:val="left"/>
      <w:pPr>
        <w:ind w:left="1440" w:hanging="360"/>
      </w:pPr>
    </w:lvl>
    <w:lvl w:ilvl="1" w:tplc="C02AB1A8">
      <w:start w:val="1"/>
      <w:numFmt w:val="lowerLetter"/>
      <w:lvlText w:val="%2."/>
      <w:lvlJc w:val="left"/>
      <w:pPr>
        <w:ind w:left="2160" w:hanging="360"/>
      </w:pPr>
    </w:lvl>
    <w:lvl w:ilvl="2" w:tplc="F0103C88">
      <w:start w:val="1"/>
      <w:numFmt w:val="lowerRoman"/>
      <w:lvlText w:val="%3."/>
      <w:lvlJc w:val="right"/>
      <w:pPr>
        <w:ind w:left="2880" w:hanging="180"/>
      </w:pPr>
    </w:lvl>
    <w:lvl w:ilvl="3" w:tplc="94340200">
      <w:start w:val="1"/>
      <w:numFmt w:val="decimal"/>
      <w:lvlText w:val="%4."/>
      <w:lvlJc w:val="left"/>
      <w:pPr>
        <w:ind w:left="3600" w:hanging="360"/>
      </w:pPr>
    </w:lvl>
    <w:lvl w:ilvl="4" w:tplc="F8A8013A">
      <w:start w:val="1"/>
      <w:numFmt w:val="lowerLetter"/>
      <w:lvlText w:val="%5."/>
      <w:lvlJc w:val="left"/>
      <w:pPr>
        <w:ind w:left="4320" w:hanging="360"/>
      </w:pPr>
    </w:lvl>
    <w:lvl w:ilvl="5" w:tplc="617059C8">
      <w:start w:val="1"/>
      <w:numFmt w:val="lowerRoman"/>
      <w:lvlText w:val="%6."/>
      <w:lvlJc w:val="right"/>
      <w:pPr>
        <w:ind w:left="5040" w:hanging="180"/>
      </w:pPr>
    </w:lvl>
    <w:lvl w:ilvl="6" w:tplc="B2865F02">
      <w:start w:val="1"/>
      <w:numFmt w:val="decimal"/>
      <w:lvlText w:val="%7."/>
      <w:lvlJc w:val="left"/>
      <w:pPr>
        <w:ind w:left="5760" w:hanging="360"/>
      </w:pPr>
    </w:lvl>
    <w:lvl w:ilvl="7" w:tplc="3DA8C0C0">
      <w:start w:val="1"/>
      <w:numFmt w:val="lowerLetter"/>
      <w:lvlText w:val="%8."/>
      <w:lvlJc w:val="left"/>
      <w:pPr>
        <w:ind w:left="6480" w:hanging="360"/>
      </w:pPr>
    </w:lvl>
    <w:lvl w:ilvl="8" w:tplc="35F430FC">
      <w:start w:val="1"/>
      <w:numFmt w:val="lowerRoman"/>
      <w:lvlText w:val="%9."/>
      <w:lvlJc w:val="right"/>
      <w:pPr>
        <w:ind w:left="7200" w:hanging="180"/>
      </w:pPr>
    </w:lvl>
  </w:abstractNum>
  <w:abstractNum w:abstractNumId="2" w15:restartNumberingAfterBreak="0">
    <w:nsid w:val="08080951"/>
    <w:multiLevelType w:val="hybridMultilevel"/>
    <w:tmpl w:val="497EC01E"/>
    <w:lvl w:ilvl="0" w:tplc="F1D65862">
      <w:start w:val="1"/>
      <w:numFmt w:val="decimal"/>
      <w:lvlText w:val="%1."/>
      <w:lvlJc w:val="left"/>
      <w:pPr>
        <w:ind w:left="720" w:hanging="360"/>
      </w:pPr>
    </w:lvl>
    <w:lvl w:ilvl="1" w:tplc="2878045E">
      <w:start w:val="1"/>
      <w:numFmt w:val="lowerLetter"/>
      <w:lvlText w:val="%2."/>
      <w:lvlJc w:val="left"/>
      <w:pPr>
        <w:ind w:left="1440" w:hanging="360"/>
      </w:pPr>
    </w:lvl>
    <w:lvl w:ilvl="2" w:tplc="F2B6DC50">
      <w:start w:val="1"/>
      <w:numFmt w:val="lowerRoman"/>
      <w:lvlText w:val="%3."/>
      <w:lvlJc w:val="right"/>
      <w:pPr>
        <w:ind w:left="2160" w:hanging="180"/>
      </w:pPr>
    </w:lvl>
    <w:lvl w:ilvl="3" w:tplc="6C125A8C">
      <w:start w:val="1"/>
      <w:numFmt w:val="decimal"/>
      <w:lvlText w:val="%4."/>
      <w:lvlJc w:val="left"/>
      <w:pPr>
        <w:ind w:left="2880" w:hanging="360"/>
      </w:pPr>
    </w:lvl>
    <w:lvl w:ilvl="4" w:tplc="3F368A78">
      <w:start w:val="1"/>
      <w:numFmt w:val="lowerLetter"/>
      <w:lvlText w:val="%5."/>
      <w:lvlJc w:val="left"/>
      <w:pPr>
        <w:ind w:left="3600" w:hanging="360"/>
      </w:pPr>
    </w:lvl>
    <w:lvl w:ilvl="5" w:tplc="86CCC150">
      <w:start w:val="1"/>
      <w:numFmt w:val="lowerRoman"/>
      <w:lvlText w:val="%6."/>
      <w:lvlJc w:val="right"/>
      <w:pPr>
        <w:ind w:left="4320" w:hanging="180"/>
      </w:pPr>
    </w:lvl>
    <w:lvl w:ilvl="6" w:tplc="C810B10C">
      <w:start w:val="1"/>
      <w:numFmt w:val="decimal"/>
      <w:lvlText w:val="%7."/>
      <w:lvlJc w:val="left"/>
      <w:pPr>
        <w:ind w:left="5040" w:hanging="360"/>
      </w:pPr>
    </w:lvl>
    <w:lvl w:ilvl="7" w:tplc="BD5E3F0A">
      <w:start w:val="1"/>
      <w:numFmt w:val="lowerLetter"/>
      <w:lvlText w:val="%8."/>
      <w:lvlJc w:val="left"/>
      <w:pPr>
        <w:ind w:left="5760" w:hanging="360"/>
      </w:pPr>
    </w:lvl>
    <w:lvl w:ilvl="8" w:tplc="C11039C8">
      <w:start w:val="1"/>
      <w:numFmt w:val="lowerRoman"/>
      <w:lvlText w:val="%9."/>
      <w:lvlJc w:val="right"/>
      <w:pPr>
        <w:ind w:left="6480" w:hanging="180"/>
      </w:pPr>
    </w:lvl>
  </w:abstractNum>
  <w:abstractNum w:abstractNumId="3" w15:restartNumberingAfterBreak="0">
    <w:nsid w:val="0B8D02AD"/>
    <w:multiLevelType w:val="hybridMultilevel"/>
    <w:tmpl w:val="FFFFFFFF"/>
    <w:lvl w:ilvl="0" w:tplc="A05C5BD6">
      <w:start w:val="1"/>
      <w:numFmt w:val="decimal"/>
      <w:lvlText w:val="%1."/>
      <w:lvlJc w:val="left"/>
      <w:pPr>
        <w:ind w:left="720" w:hanging="360"/>
      </w:pPr>
    </w:lvl>
    <w:lvl w:ilvl="1" w:tplc="B16C3040">
      <w:start w:val="1"/>
      <w:numFmt w:val="lowerLetter"/>
      <w:lvlText w:val="%2."/>
      <w:lvlJc w:val="left"/>
      <w:pPr>
        <w:ind w:left="1440" w:hanging="360"/>
      </w:pPr>
    </w:lvl>
    <w:lvl w:ilvl="2" w:tplc="876EE98A">
      <w:start w:val="1"/>
      <w:numFmt w:val="lowerRoman"/>
      <w:lvlText w:val="%3."/>
      <w:lvlJc w:val="right"/>
      <w:pPr>
        <w:ind w:left="2160" w:hanging="180"/>
      </w:pPr>
    </w:lvl>
    <w:lvl w:ilvl="3" w:tplc="1722D5E6">
      <w:start w:val="1"/>
      <w:numFmt w:val="decimal"/>
      <w:lvlText w:val="%4."/>
      <w:lvlJc w:val="left"/>
      <w:pPr>
        <w:ind w:left="2880" w:hanging="360"/>
      </w:pPr>
    </w:lvl>
    <w:lvl w:ilvl="4" w:tplc="6D667B70">
      <w:start w:val="1"/>
      <w:numFmt w:val="lowerLetter"/>
      <w:lvlText w:val="%5."/>
      <w:lvlJc w:val="left"/>
      <w:pPr>
        <w:ind w:left="3600" w:hanging="360"/>
      </w:pPr>
    </w:lvl>
    <w:lvl w:ilvl="5" w:tplc="EFBE030E">
      <w:start w:val="1"/>
      <w:numFmt w:val="lowerRoman"/>
      <w:lvlText w:val="%6."/>
      <w:lvlJc w:val="right"/>
      <w:pPr>
        <w:ind w:left="4320" w:hanging="180"/>
      </w:pPr>
    </w:lvl>
    <w:lvl w:ilvl="6" w:tplc="B1C09A5E">
      <w:start w:val="1"/>
      <w:numFmt w:val="decimal"/>
      <w:lvlText w:val="%7."/>
      <w:lvlJc w:val="left"/>
      <w:pPr>
        <w:ind w:left="5040" w:hanging="360"/>
      </w:pPr>
    </w:lvl>
    <w:lvl w:ilvl="7" w:tplc="7422AEB2">
      <w:start w:val="1"/>
      <w:numFmt w:val="lowerLetter"/>
      <w:lvlText w:val="%8."/>
      <w:lvlJc w:val="left"/>
      <w:pPr>
        <w:ind w:left="5760" w:hanging="360"/>
      </w:pPr>
    </w:lvl>
    <w:lvl w:ilvl="8" w:tplc="8774143E">
      <w:start w:val="1"/>
      <w:numFmt w:val="lowerRoman"/>
      <w:lvlText w:val="%9."/>
      <w:lvlJc w:val="right"/>
      <w:pPr>
        <w:ind w:left="6480" w:hanging="180"/>
      </w:pPr>
    </w:lvl>
  </w:abstractNum>
  <w:abstractNum w:abstractNumId="4" w15:restartNumberingAfterBreak="0">
    <w:nsid w:val="0D84E55A"/>
    <w:multiLevelType w:val="hybridMultilevel"/>
    <w:tmpl w:val="FFFFFFFF"/>
    <w:lvl w:ilvl="0" w:tplc="363AB84E">
      <w:start w:val="1"/>
      <w:numFmt w:val="decimal"/>
      <w:lvlText w:val="%1."/>
      <w:lvlJc w:val="left"/>
      <w:pPr>
        <w:ind w:left="720" w:hanging="360"/>
      </w:pPr>
    </w:lvl>
    <w:lvl w:ilvl="1" w:tplc="13B68DCE">
      <w:start w:val="1"/>
      <w:numFmt w:val="lowerLetter"/>
      <w:lvlText w:val="%2."/>
      <w:lvlJc w:val="left"/>
      <w:pPr>
        <w:ind w:left="1440" w:hanging="360"/>
      </w:pPr>
    </w:lvl>
    <w:lvl w:ilvl="2" w:tplc="C4265984">
      <w:start w:val="1"/>
      <w:numFmt w:val="lowerRoman"/>
      <w:lvlText w:val="%3."/>
      <w:lvlJc w:val="right"/>
      <w:pPr>
        <w:ind w:left="2160" w:hanging="180"/>
      </w:pPr>
    </w:lvl>
    <w:lvl w:ilvl="3" w:tplc="A4E220E0">
      <w:start w:val="1"/>
      <w:numFmt w:val="decimal"/>
      <w:lvlText w:val="%4."/>
      <w:lvlJc w:val="left"/>
      <w:pPr>
        <w:ind w:left="2880" w:hanging="360"/>
      </w:pPr>
    </w:lvl>
    <w:lvl w:ilvl="4" w:tplc="89DE8226">
      <w:start w:val="1"/>
      <w:numFmt w:val="lowerLetter"/>
      <w:lvlText w:val="%5."/>
      <w:lvlJc w:val="left"/>
      <w:pPr>
        <w:ind w:left="3600" w:hanging="360"/>
      </w:pPr>
    </w:lvl>
    <w:lvl w:ilvl="5" w:tplc="54C0B838">
      <w:start w:val="1"/>
      <w:numFmt w:val="lowerRoman"/>
      <w:lvlText w:val="%6."/>
      <w:lvlJc w:val="right"/>
      <w:pPr>
        <w:ind w:left="4320" w:hanging="180"/>
      </w:pPr>
    </w:lvl>
    <w:lvl w:ilvl="6" w:tplc="F4424ECA">
      <w:start w:val="1"/>
      <w:numFmt w:val="decimal"/>
      <w:lvlText w:val="%7."/>
      <w:lvlJc w:val="left"/>
      <w:pPr>
        <w:ind w:left="5040" w:hanging="360"/>
      </w:pPr>
    </w:lvl>
    <w:lvl w:ilvl="7" w:tplc="256E787A">
      <w:start w:val="1"/>
      <w:numFmt w:val="lowerLetter"/>
      <w:lvlText w:val="%8."/>
      <w:lvlJc w:val="left"/>
      <w:pPr>
        <w:ind w:left="5760" w:hanging="360"/>
      </w:pPr>
    </w:lvl>
    <w:lvl w:ilvl="8" w:tplc="7FA68B06">
      <w:start w:val="1"/>
      <w:numFmt w:val="lowerRoman"/>
      <w:lvlText w:val="%9."/>
      <w:lvlJc w:val="right"/>
      <w:pPr>
        <w:ind w:left="6480" w:hanging="180"/>
      </w:pPr>
    </w:lvl>
  </w:abstractNum>
  <w:abstractNum w:abstractNumId="5" w15:restartNumberingAfterBreak="0">
    <w:nsid w:val="302CBC47"/>
    <w:multiLevelType w:val="hybridMultilevel"/>
    <w:tmpl w:val="FFFFFFFF"/>
    <w:lvl w:ilvl="0" w:tplc="AFB40D96">
      <w:start w:val="1"/>
      <w:numFmt w:val="decimal"/>
      <w:lvlText w:val="%1."/>
      <w:lvlJc w:val="left"/>
      <w:pPr>
        <w:ind w:left="720" w:hanging="360"/>
      </w:pPr>
    </w:lvl>
    <w:lvl w:ilvl="1" w:tplc="AE7C6494">
      <w:start w:val="1"/>
      <w:numFmt w:val="lowerLetter"/>
      <w:lvlText w:val="%2."/>
      <w:lvlJc w:val="left"/>
      <w:pPr>
        <w:ind w:left="1440" w:hanging="360"/>
      </w:pPr>
    </w:lvl>
    <w:lvl w:ilvl="2" w:tplc="EB9AF26E">
      <w:start w:val="1"/>
      <w:numFmt w:val="lowerRoman"/>
      <w:lvlText w:val="%3."/>
      <w:lvlJc w:val="right"/>
      <w:pPr>
        <w:ind w:left="2160" w:hanging="180"/>
      </w:pPr>
    </w:lvl>
    <w:lvl w:ilvl="3" w:tplc="FF7CC2BA">
      <w:start w:val="1"/>
      <w:numFmt w:val="decimal"/>
      <w:lvlText w:val="%4."/>
      <w:lvlJc w:val="left"/>
      <w:pPr>
        <w:ind w:left="2880" w:hanging="360"/>
      </w:pPr>
    </w:lvl>
    <w:lvl w:ilvl="4" w:tplc="EB4659A8">
      <w:start w:val="1"/>
      <w:numFmt w:val="lowerLetter"/>
      <w:lvlText w:val="%5."/>
      <w:lvlJc w:val="left"/>
      <w:pPr>
        <w:ind w:left="3600" w:hanging="360"/>
      </w:pPr>
    </w:lvl>
    <w:lvl w:ilvl="5" w:tplc="158E2C26">
      <w:start w:val="1"/>
      <w:numFmt w:val="lowerRoman"/>
      <w:lvlText w:val="%6."/>
      <w:lvlJc w:val="right"/>
      <w:pPr>
        <w:ind w:left="4320" w:hanging="180"/>
      </w:pPr>
    </w:lvl>
    <w:lvl w:ilvl="6" w:tplc="25BAC932">
      <w:start w:val="1"/>
      <w:numFmt w:val="decimal"/>
      <w:lvlText w:val="%7."/>
      <w:lvlJc w:val="left"/>
      <w:pPr>
        <w:ind w:left="5040" w:hanging="360"/>
      </w:pPr>
    </w:lvl>
    <w:lvl w:ilvl="7" w:tplc="2146EDBE">
      <w:start w:val="1"/>
      <w:numFmt w:val="lowerLetter"/>
      <w:lvlText w:val="%8."/>
      <w:lvlJc w:val="left"/>
      <w:pPr>
        <w:ind w:left="5760" w:hanging="360"/>
      </w:pPr>
    </w:lvl>
    <w:lvl w:ilvl="8" w:tplc="3FD08790">
      <w:start w:val="1"/>
      <w:numFmt w:val="lowerRoman"/>
      <w:lvlText w:val="%9."/>
      <w:lvlJc w:val="right"/>
      <w:pPr>
        <w:ind w:left="6480" w:hanging="180"/>
      </w:pPr>
    </w:lvl>
  </w:abstractNum>
  <w:abstractNum w:abstractNumId="6" w15:restartNumberingAfterBreak="0">
    <w:nsid w:val="356B0667"/>
    <w:multiLevelType w:val="hybridMultilevel"/>
    <w:tmpl w:val="818EA026"/>
    <w:lvl w:ilvl="0" w:tplc="5260AFCA">
      <w:start w:val="1"/>
      <w:numFmt w:val="bullet"/>
      <w:lvlText w:val=""/>
      <w:lvlJc w:val="left"/>
      <w:pPr>
        <w:ind w:left="720" w:hanging="360"/>
      </w:pPr>
      <w:rPr>
        <w:rFonts w:ascii="Symbol" w:hAnsi="Symbol" w:hint="default"/>
      </w:rPr>
    </w:lvl>
    <w:lvl w:ilvl="1" w:tplc="606C9E38" w:tentative="1">
      <w:start w:val="1"/>
      <w:numFmt w:val="bullet"/>
      <w:lvlText w:val="o"/>
      <w:lvlJc w:val="left"/>
      <w:pPr>
        <w:ind w:left="1440" w:hanging="360"/>
      </w:pPr>
      <w:rPr>
        <w:rFonts w:ascii="Courier New" w:hAnsi="Courier New" w:cs="Courier New" w:hint="default"/>
      </w:rPr>
    </w:lvl>
    <w:lvl w:ilvl="2" w:tplc="43881B00" w:tentative="1">
      <w:start w:val="1"/>
      <w:numFmt w:val="bullet"/>
      <w:lvlText w:val=""/>
      <w:lvlJc w:val="left"/>
      <w:pPr>
        <w:ind w:left="2160" w:hanging="360"/>
      </w:pPr>
      <w:rPr>
        <w:rFonts w:ascii="Wingdings" w:hAnsi="Wingdings" w:hint="default"/>
      </w:rPr>
    </w:lvl>
    <w:lvl w:ilvl="3" w:tplc="3DE27062" w:tentative="1">
      <w:start w:val="1"/>
      <w:numFmt w:val="bullet"/>
      <w:lvlText w:val=""/>
      <w:lvlJc w:val="left"/>
      <w:pPr>
        <w:ind w:left="2880" w:hanging="360"/>
      </w:pPr>
      <w:rPr>
        <w:rFonts w:ascii="Symbol" w:hAnsi="Symbol" w:hint="default"/>
      </w:rPr>
    </w:lvl>
    <w:lvl w:ilvl="4" w:tplc="DCDA4B42" w:tentative="1">
      <w:start w:val="1"/>
      <w:numFmt w:val="bullet"/>
      <w:lvlText w:val="o"/>
      <w:lvlJc w:val="left"/>
      <w:pPr>
        <w:ind w:left="3600" w:hanging="360"/>
      </w:pPr>
      <w:rPr>
        <w:rFonts w:ascii="Courier New" w:hAnsi="Courier New" w:cs="Courier New" w:hint="default"/>
      </w:rPr>
    </w:lvl>
    <w:lvl w:ilvl="5" w:tplc="9D58CD66" w:tentative="1">
      <w:start w:val="1"/>
      <w:numFmt w:val="bullet"/>
      <w:lvlText w:val=""/>
      <w:lvlJc w:val="left"/>
      <w:pPr>
        <w:ind w:left="4320" w:hanging="360"/>
      </w:pPr>
      <w:rPr>
        <w:rFonts w:ascii="Wingdings" w:hAnsi="Wingdings" w:hint="default"/>
      </w:rPr>
    </w:lvl>
    <w:lvl w:ilvl="6" w:tplc="5792F904" w:tentative="1">
      <w:start w:val="1"/>
      <w:numFmt w:val="bullet"/>
      <w:lvlText w:val=""/>
      <w:lvlJc w:val="left"/>
      <w:pPr>
        <w:ind w:left="5040" w:hanging="360"/>
      </w:pPr>
      <w:rPr>
        <w:rFonts w:ascii="Symbol" w:hAnsi="Symbol" w:hint="default"/>
      </w:rPr>
    </w:lvl>
    <w:lvl w:ilvl="7" w:tplc="C60424D0" w:tentative="1">
      <w:start w:val="1"/>
      <w:numFmt w:val="bullet"/>
      <w:lvlText w:val="o"/>
      <w:lvlJc w:val="left"/>
      <w:pPr>
        <w:ind w:left="5760" w:hanging="360"/>
      </w:pPr>
      <w:rPr>
        <w:rFonts w:ascii="Courier New" w:hAnsi="Courier New" w:cs="Courier New" w:hint="default"/>
      </w:rPr>
    </w:lvl>
    <w:lvl w:ilvl="8" w:tplc="B4B63D62" w:tentative="1">
      <w:start w:val="1"/>
      <w:numFmt w:val="bullet"/>
      <w:lvlText w:val=""/>
      <w:lvlJc w:val="left"/>
      <w:pPr>
        <w:ind w:left="6480" w:hanging="360"/>
      </w:pPr>
      <w:rPr>
        <w:rFonts w:ascii="Wingdings" w:hAnsi="Wingdings" w:hint="default"/>
      </w:rPr>
    </w:lvl>
  </w:abstractNum>
  <w:abstractNum w:abstractNumId="7" w15:restartNumberingAfterBreak="0">
    <w:nsid w:val="42135EB4"/>
    <w:multiLevelType w:val="hybridMultilevel"/>
    <w:tmpl w:val="FFFFFFFF"/>
    <w:lvl w:ilvl="0" w:tplc="4C3AC8E4">
      <w:start w:val="1"/>
      <w:numFmt w:val="decimal"/>
      <w:lvlText w:val="%1."/>
      <w:lvlJc w:val="left"/>
      <w:pPr>
        <w:ind w:left="720" w:hanging="360"/>
      </w:pPr>
    </w:lvl>
    <w:lvl w:ilvl="1" w:tplc="856E354E">
      <w:start w:val="1"/>
      <w:numFmt w:val="lowerLetter"/>
      <w:lvlText w:val="%2."/>
      <w:lvlJc w:val="left"/>
      <w:pPr>
        <w:ind w:left="1440" w:hanging="360"/>
      </w:pPr>
    </w:lvl>
    <w:lvl w:ilvl="2" w:tplc="629A1FF6">
      <w:start w:val="1"/>
      <w:numFmt w:val="lowerRoman"/>
      <w:lvlText w:val="%3."/>
      <w:lvlJc w:val="right"/>
      <w:pPr>
        <w:ind w:left="2160" w:hanging="180"/>
      </w:pPr>
    </w:lvl>
    <w:lvl w:ilvl="3" w:tplc="94086250">
      <w:start w:val="1"/>
      <w:numFmt w:val="decimal"/>
      <w:lvlText w:val="%4."/>
      <w:lvlJc w:val="left"/>
      <w:pPr>
        <w:ind w:left="2880" w:hanging="360"/>
      </w:pPr>
    </w:lvl>
    <w:lvl w:ilvl="4" w:tplc="0C1E3F76">
      <w:start w:val="1"/>
      <w:numFmt w:val="lowerLetter"/>
      <w:lvlText w:val="%5."/>
      <w:lvlJc w:val="left"/>
      <w:pPr>
        <w:ind w:left="3600" w:hanging="360"/>
      </w:pPr>
    </w:lvl>
    <w:lvl w:ilvl="5" w:tplc="EE1EBBA4">
      <w:start w:val="1"/>
      <w:numFmt w:val="lowerRoman"/>
      <w:lvlText w:val="%6."/>
      <w:lvlJc w:val="right"/>
      <w:pPr>
        <w:ind w:left="4320" w:hanging="180"/>
      </w:pPr>
    </w:lvl>
    <w:lvl w:ilvl="6" w:tplc="0B12EC04">
      <w:start w:val="1"/>
      <w:numFmt w:val="decimal"/>
      <w:lvlText w:val="%7."/>
      <w:lvlJc w:val="left"/>
      <w:pPr>
        <w:ind w:left="5040" w:hanging="360"/>
      </w:pPr>
    </w:lvl>
    <w:lvl w:ilvl="7" w:tplc="0B807ACA">
      <w:start w:val="1"/>
      <w:numFmt w:val="lowerLetter"/>
      <w:lvlText w:val="%8."/>
      <w:lvlJc w:val="left"/>
      <w:pPr>
        <w:ind w:left="5760" w:hanging="360"/>
      </w:pPr>
    </w:lvl>
    <w:lvl w:ilvl="8" w:tplc="046E42A8">
      <w:start w:val="1"/>
      <w:numFmt w:val="lowerRoman"/>
      <w:lvlText w:val="%9."/>
      <w:lvlJc w:val="right"/>
      <w:pPr>
        <w:ind w:left="6480" w:hanging="180"/>
      </w:pPr>
    </w:lvl>
  </w:abstractNum>
  <w:abstractNum w:abstractNumId="8" w15:restartNumberingAfterBreak="0">
    <w:nsid w:val="434FDE20"/>
    <w:multiLevelType w:val="hybridMultilevel"/>
    <w:tmpl w:val="FFFFFFFF"/>
    <w:lvl w:ilvl="0" w:tplc="2FE867B8">
      <w:start w:val="1"/>
      <w:numFmt w:val="decimal"/>
      <w:lvlText w:val="%1."/>
      <w:lvlJc w:val="left"/>
      <w:pPr>
        <w:ind w:left="720" w:hanging="360"/>
      </w:pPr>
    </w:lvl>
    <w:lvl w:ilvl="1" w:tplc="6B227EF6">
      <w:start w:val="1"/>
      <w:numFmt w:val="lowerLetter"/>
      <w:lvlText w:val="%2."/>
      <w:lvlJc w:val="left"/>
      <w:pPr>
        <w:ind w:left="1440" w:hanging="360"/>
      </w:pPr>
    </w:lvl>
    <w:lvl w:ilvl="2" w:tplc="1A8CECF6">
      <w:start w:val="1"/>
      <w:numFmt w:val="lowerRoman"/>
      <w:lvlText w:val="%3."/>
      <w:lvlJc w:val="right"/>
      <w:pPr>
        <w:ind w:left="2160" w:hanging="180"/>
      </w:pPr>
    </w:lvl>
    <w:lvl w:ilvl="3" w:tplc="4E98A010">
      <w:start w:val="1"/>
      <w:numFmt w:val="decimal"/>
      <w:lvlText w:val="%4."/>
      <w:lvlJc w:val="left"/>
      <w:pPr>
        <w:ind w:left="2880" w:hanging="360"/>
      </w:pPr>
    </w:lvl>
    <w:lvl w:ilvl="4" w:tplc="2E4A5670">
      <w:start w:val="1"/>
      <w:numFmt w:val="lowerLetter"/>
      <w:lvlText w:val="%5."/>
      <w:lvlJc w:val="left"/>
      <w:pPr>
        <w:ind w:left="3600" w:hanging="360"/>
      </w:pPr>
    </w:lvl>
    <w:lvl w:ilvl="5" w:tplc="9FAC36FC">
      <w:start w:val="1"/>
      <w:numFmt w:val="lowerRoman"/>
      <w:lvlText w:val="%6."/>
      <w:lvlJc w:val="right"/>
      <w:pPr>
        <w:ind w:left="4320" w:hanging="180"/>
      </w:pPr>
    </w:lvl>
    <w:lvl w:ilvl="6" w:tplc="DB169438">
      <w:start w:val="1"/>
      <w:numFmt w:val="decimal"/>
      <w:lvlText w:val="%7."/>
      <w:lvlJc w:val="left"/>
      <w:pPr>
        <w:ind w:left="5040" w:hanging="360"/>
      </w:pPr>
    </w:lvl>
    <w:lvl w:ilvl="7" w:tplc="D13EEE24">
      <w:start w:val="1"/>
      <w:numFmt w:val="lowerLetter"/>
      <w:lvlText w:val="%8."/>
      <w:lvlJc w:val="left"/>
      <w:pPr>
        <w:ind w:left="5760" w:hanging="360"/>
      </w:pPr>
    </w:lvl>
    <w:lvl w:ilvl="8" w:tplc="6CFA2648">
      <w:start w:val="1"/>
      <w:numFmt w:val="lowerRoman"/>
      <w:lvlText w:val="%9."/>
      <w:lvlJc w:val="right"/>
      <w:pPr>
        <w:ind w:left="6480" w:hanging="180"/>
      </w:pPr>
    </w:lvl>
  </w:abstractNum>
  <w:abstractNum w:abstractNumId="9" w15:restartNumberingAfterBreak="0">
    <w:nsid w:val="46D33F1A"/>
    <w:multiLevelType w:val="hybridMultilevel"/>
    <w:tmpl w:val="03425954"/>
    <w:lvl w:ilvl="0" w:tplc="01B609D8">
      <w:start w:val="1"/>
      <w:numFmt w:val="decimal"/>
      <w:lvlText w:val="%1."/>
      <w:lvlJc w:val="left"/>
      <w:pPr>
        <w:ind w:left="720" w:hanging="360"/>
      </w:pPr>
      <w:rPr>
        <w:rFonts w:ascii="Times New Roman" w:eastAsiaTheme="minorHAnsi" w:hAnsi="Times New Roman" w:cs="Times New Roman"/>
        <w:b w:val="0"/>
        <w:bCs/>
        <w:i w:val="0"/>
        <w:iCs w:val="0"/>
        <w:sz w:val="24"/>
        <w:szCs w:val="24"/>
      </w:rPr>
    </w:lvl>
    <w:lvl w:ilvl="1" w:tplc="EAECF5EC">
      <w:start w:val="1"/>
      <w:numFmt w:val="lowerLetter"/>
      <w:lvlText w:val="%2."/>
      <w:lvlJc w:val="left"/>
      <w:pPr>
        <w:ind w:left="1440" w:hanging="360"/>
      </w:pPr>
    </w:lvl>
    <w:lvl w:ilvl="2" w:tplc="1FBCF08E" w:tentative="1">
      <w:start w:val="1"/>
      <w:numFmt w:val="lowerRoman"/>
      <w:lvlText w:val="%3."/>
      <w:lvlJc w:val="right"/>
      <w:pPr>
        <w:ind w:left="2160" w:hanging="180"/>
      </w:pPr>
    </w:lvl>
    <w:lvl w:ilvl="3" w:tplc="09E04342" w:tentative="1">
      <w:start w:val="1"/>
      <w:numFmt w:val="decimal"/>
      <w:lvlText w:val="%4."/>
      <w:lvlJc w:val="left"/>
      <w:pPr>
        <w:ind w:left="2880" w:hanging="360"/>
      </w:pPr>
    </w:lvl>
    <w:lvl w:ilvl="4" w:tplc="9842A2CC" w:tentative="1">
      <w:start w:val="1"/>
      <w:numFmt w:val="lowerLetter"/>
      <w:lvlText w:val="%5."/>
      <w:lvlJc w:val="left"/>
      <w:pPr>
        <w:ind w:left="3600" w:hanging="360"/>
      </w:pPr>
    </w:lvl>
    <w:lvl w:ilvl="5" w:tplc="198A2E8A" w:tentative="1">
      <w:start w:val="1"/>
      <w:numFmt w:val="lowerRoman"/>
      <w:lvlText w:val="%6."/>
      <w:lvlJc w:val="right"/>
      <w:pPr>
        <w:ind w:left="4320" w:hanging="180"/>
      </w:pPr>
    </w:lvl>
    <w:lvl w:ilvl="6" w:tplc="E20EB84A" w:tentative="1">
      <w:start w:val="1"/>
      <w:numFmt w:val="decimal"/>
      <w:lvlText w:val="%7."/>
      <w:lvlJc w:val="left"/>
      <w:pPr>
        <w:ind w:left="5040" w:hanging="360"/>
      </w:pPr>
    </w:lvl>
    <w:lvl w:ilvl="7" w:tplc="68C2415E" w:tentative="1">
      <w:start w:val="1"/>
      <w:numFmt w:val="lowerLetter"/>
      <w:lvlText w:val="%8."/>
      <w:lvlJc w:val="left"/>
      <w:pPr>
        <w:ind w:left="5760" w:hanging="360"/>
      </w:pPr>
    </w:lvl>
    <w:lvl w:ilvl="8" w:tplc="FCE0D650" w:tentative="1">
      <w:start w:val="1"/>
      <w:numFmt w:val="lowerRoman"/>
      <w:lvlText w:val="%9."/>
      <w:lvlJc w:val="right"/>
      <w:pPr>
        <w:ind w:left="6480" w:hanging="180"/>
      </w:pPr>
    </w:lvl>
  </w:abstractNum>
  <w:abstractNum w:abstractNumId="10" w15:restartNumberingAfterBreak="0">
    <w:nsid w:val="4886051E"/>
    <w:multiLevelType w:val="hybridMultilevel"/>
    <w:tmpl w:val="4B56AE9E"/>
    <w:lvl w:ilvl="0" w:tplc="8EAE2F94">
      <w:start w:val="1"/>
      <w:numFmt w:val="upperRoman"/>
      <w:lvlText w:val="%1."/>
      <w:lvlJc w:val="left"/>
      <w:pPr>
        <w:ind w:left="1080" w:hanging="720"/>
      </w:pPr>
      <w:rPr>
        <w:rFonts w:hint="default"/>
      </w:rPr>
    </w:lvl>
    <w:lvl w:ilvl="1" w:tplc="85A6D324" w:tentative="1">
      <w:start w:val="1"/>
      <w:numFmt w:val="lowerLetter"/>
      <w:lvlText w:val="%2."/>
      <w:lvlJc w:val="left"/>
      <w:pPr>
        <w:ind w:left="1440" w:hanging="360"/>
      </w:pPr>
    </w:lvl>
    <w:lvl w:ilvl="2" w:tplc="A0A08ABE" w:tentative="1">
      <w:start w:val="1"/>
      <w:numFmt w:val="lowerRoman"/>
      <w:lvlText w:val="%3."/>
      <w:lvlJc w:val="right"/>
      <w:pPr>
        <w:ind w:left="2160" w:hanging="180"/>
      </w:pPr>
    </w:lvl>
    <w:lvl w:ilvl="3" w:tplc="2698F08A" w:tentative="1">
      <w:start w:val="1"/>
      <w:numFmt w:val="decimal"/>
      <w:lvlText w:val="%4."/>
      <w:lvlJc w:val="left"/>
      <w:pPr>
        <w:ind w:left="2880" w:hanging="360"/>
      </w:pPr>
    </w:lvl>
    <w:lvl w:ilvl="4" w:tplc="8836E4AE" w:tentative="1">
      <w:start w:val="1"/>
      <w:numFmt w:val="lowerLetter"/>
      <w:lvlText w:val="%5."/>
      <w:lvlJc w:val="left"/>
      <w:pPr>
        <w:ind w:left="3600" w:hanging="360"/>
      </w:pPr>
    </w:lvl>
    <w:lvl w:ilvl="5" w:tplc="6C66FE58" w:tentative="1">
      <w:start w:val="1"/>
      <w:numFmt w:val="lowerRoman"/>
      <w:lvlText w:val="%6."/>
      <w:lvlJc w:val="right"/>
      <w:pPr>
        <w:ind w:left="4320" w:hanging="180"/>
      </w:pPr>
    </w:lvl>
    <w:lvl w:ilvl="6" w:tplc="1D54A2BC" w:tentative="1">
      <w:start w:val="1"/>
      <w:numFmt w:val="decimal"/>
      <w:lvlText w:val="%7."/>
      <w:lvlJc w:val="left"/>
      <w:pPr>
        <w:ind w:left="5040" w:hanging="360"/>
      </w:pPr>
    </w:lvl>
    <w:lvl w:ilvl="7" w:tplc="9C40D218" w:tentative="1">
      <w:start w:val="1"/>
      <w:numFmt w:val="lowerLetter"/>
      <w:lvlText w:val="%8."/>
      <w:lvlJc w:val="left"/>
      <w:pPr>
        <w:ind w:left="5760" w:hanging="360"/>
      </w:pPr>
    </w:lvl>
    <w:lvl w:ilvl="8" w:tplc="65EA487C" w:tentative="1">
      <w:start w:val="1"/>
      <w:numFmt w:val="lowerRoman"/>
      <w:lvlText w:val="%9."/>
      <w:lvlJc w:val="right"/>
      <w:pPr>
        <w:ind w:left="6480" w:hanging="180"/>
      </w:pPr>
    </w:lvl>
  </w:abstractNum>
  <w:abstractNum w:abstractNumId="11" w15:restartNumberingAfterBreak="0">
    <w:nsid w:val="4AB367A3"/>
    <w:multiLevelType w:val="hybridMultilevel"/>
    <w:tmpl w:val="14FEB87C"/>
    <w:lvl w:ilvl="0" w:tplc="AAD65DEA">
      <w:start w:val="1"/>
      <w:numFmt w:val="upperLetter"/>
      <w:pStyle w:val="Heading2"/>
      <w:lvlText w:val="%1."/>
      <w:lvlJc w:val="left"/>
      <w:pPr>
        <w:ind w:left="720" w:hanging="360"/>
      </w:pPr>
    </w:lvl>
    <w:lvl w:ilvl="1" w:tplc="68BA1220" w:tentative="1">
      <w:start w:val="1"/>
      <w:numFmt w:val="lowerLetter"/>
      <w:lvlText w:val="%2."/>
      <w:lvlJc w:val="left"/>
      <w:pPr>
        <w:ind w:left="1440" w:hanging="360"/>
      </w:pPr>
    </w:lvl>
    <w:lvl w:ilvl="2" w:tplc="B936F654" w:tentative="1">
      <w:start w:val="1"/>
      <w:numFmt w:val="lowerRoman"/>
      <w:lvlText w:val="%3."/>
      <w:lvlJc w:val="right"/>
      <w:pPr>
        <w:ind w:left="2160" w:hanging="180"/>
      </w:pPr>
    </w:lvl>
    <w:lvl w:ilvl="3" w:tplc="82406FE4" w:tentative="1">
      <w:start w:val="1"/>
      <w:numFmt w:val="decimal"/>
      <w:lvlText w:val="%4."/>
      <w:lvlJc w:val="left"/>
      <w:pPr>
        <w:ind w:left="2880" w:hanging="360"/>
      </w:pPr>
    </w:lvl>
    <w:lvl w:ilvl="4" w:tplc="1F2050DA" w:tentative="1">
      <w:start w:val="1"/>
      <w:numFmt w:val="lowerLetter"/>
      <w:lvlText w:val="%5."/>
      <w:lvlJc w:val="left"/>
      <w:pPr>
        <w:ind w:left="3600" w:hanging="360"/>
      </w:pPr>
    </w:lvl>
    <w:lvl w:ilvl="5" w:tplc="446692F2" w:tentative="1">
      <w:start w:val="1"/>
      <w:numFmt w:val="lowerRoman"/>
      <w:lvlText w:val="%6."/>
      <w:lvlJc w:val="right"/>
      <w:pPr>
        <w:ind w:left="4320" w:hanging="180"/>
      </w:pPr>
    </w:lvl>
    <w:lvl w:ilvl="6" w:tplc="CAA6F2C8" w:tentative="1">
      <w:start w:val="1"/>
      <w:numFmt w:val="decimal"/>
      <w:lvlText w:val="%7."/>
      <w:lvlJc w:val="left"/>
      <w:pPr>
        <w:ind w:left="5040" w:hanging="360"/>
      </w:pPr>
    </w:lvl>
    <w:lvl w:ilvl="7" w:tplc="9FDEA3FE" w:tentative="1">
      <w:start w:val="1"/>
      <w:numFmt w:val="lowerLetter"/>
      <w:lvlText w:val="%8."/>
      <w:lvlJc w:val="left"/>
      <w:pPr>
        <w:ind w:left="5760" w:hanging="360"/>
      </w:pPr>
    </w:lvl>
    <w:lvl w:ilvl="8" w:tplc="E3003182" w:tentative="1">
      <w:start w:val="1"/>
      <w:numFmt w:val="lowerRoman"/>
      <w:lvlText w:val="%9."/>
      <w:lvlJc w:val="right"/>
      <w:pPr>
        <w:ind w:left="6480" w:hanging="180"/>
      </w:pPr>
    </w:lvl>
  </w:abstractNum>
  <w:abstractNum w:abstractNumId="12" w15:restartNumberingAfterBreak="0">
    <w:nsid w:val="4CF34ED8"/>
    <w:multiLevelType w:val="hybridMultilevel"/>
    <w:tmpl w:val="954CF834"/>
    <w:lvl w:ilvl="0" w:tplc="814E0CDE">
      <w:start w:val="1"/>
      <w:numFmt w:val="decimal"/>
      <w:lvlText w:val="%1."/>
      <w:lvlJc w:val="left"/>
      <w:pPr>
        <w:ind w:left="720" w:hanging="360"/>
      </w:pPr>
    </w:lvl>
    <w:lvl w:ilvl="1" w:tplc="DE32BF2A">
      <w:start w:val="1"/>
      <w:numFmt w:val="lowerLetter"/>
      <w:lvlText w:val="%2."/>
      <w:lvlJc w:val="left"/>
      <w:pPr>
        <w:ind w:left="1440" w:hanging="360"/>
      </w:pPr>
    </w:lvl>
    <w:lvl w:ilvl="2" w:tplc="5EAEB2F8">
      <w:start w:val="1"/>
      <w:numFmt w:val="lowerRoman"/>
      <w:lvlText w:val="%3."/>
      <w:lvlJc w:val="right"/>
      <w:pPr>
        <w:ind w:left="2160" w:hanging="180"/>
      </w:pPr>
    </w:lvl>
    <w:lvl w:ilvl="3" w:tplc="51B4FD20">
      <w:start w:val="1"/>
      <w:numFmt w:val="decimal"/>
      <w:lvlText w:val="%4."/>
      <w:lvlJc w:val="left"/>
      <w:pPr>
        <w:ind w:left="2880" w:hanging="360"/>
      </w:pPr>
    </w:lvl>
    <w:lvl w:ilvl="4" w:tplc="7CC86A06">
      <w:start w:val="1"/>
      <w:numFmt w:val="lowerLetter"/>
      <w:lvlText w:val="%5."/>
      <w:lvlJc w:val="left"/>
      <w:pPr>
        <w:ind w:left="3600" w:hanging="360"/>
      </w:pPr>
    </w:lvl>
    <w:lvl w:ilvl="5" w:tplc="0358BBCC">
      <w:start w:val="1"/>
      <w:numFmt w:val="lowerRoman"/>
      <w:lvlText w:val="%6."/>
      <w:lvlJc w:val="right"/>
      <w:pPr>
        <w:ind w:left="4320" w:hanging="180"/>
      </w:pPr>
    </w:lvl>
    <w:lvl w:ilvl="6" w:tplc="0BB43D82">
      <w:start w:val="1"/>
      <w:numFmt w:val="decimal"/>
      <w:lvlText w:val="%7."/>
      <w:lvlJc w:val="left"/>
      <w:pPr>
        <w:ind w:left="5040" w:hanging="360"/>
      </w:pPr>
    </w:lvl>
    <w:lvl w:ilvl="7" w:tplc="1B946544">
      <w:start w:val="1"/>
      <w:numFmt w:val="lowerLetter"/>
      <w:lvlText w:val="%8."/>
      <w:lvlJc w:val="left"/>
      <w:pPr>
        <w:ind w:left="5760" w:hanging="360"/>
      </w:pPr>
    </w:lvl>
    <w:lvl w:ilvl="8" w:tplc="61EC2AF4">
      <w:start w:val="1"/>
      <w:numFmt w:val="lowerRoman"/>
      <w:lvlText w:val="%9."/>
      <w:lvlJc w:val="right"/>
      <w:pPr>
        <w:ind w:left="6480" w:hanging="180"/>
      </w:pPr>
    </w:lvl>
  </w:abstractNum>
  <w:abstractNum w:abstractNumId="13" w15:restartNumberingAfterBreak="0">
    <w:nsid w:val="4ECF1EBD"/>
    <w:multiLevelType w:val="hybridMultilevel"/>
    <w:tmpl w:val="4C8CE9EE"/>
    <w:lvl w:ilvl="0" w:tplc="29CA90B4">
      <w:start w:val="1"/>
      <w:numFmt w:val="decimal"/>
      <w:lvlText w:val="%1."/>
      <w:lvlJc w:val="left"/>
      <w:pPr>
        <w:ind w:left="720" w:hanging="360"/>
      </w:pPr>
      <w:rPr>
        <w:rFonts w:ascii="Times New Roman" w:hAnsi="Times New Roman" w:cs="Times New Roman" w:hint="default"/>
        <w:b w:val="0"/>
        <w:bCs/>
      </w:rPr>
    </w:lvl>
    <w:lvl w:ilvl="1" w:tplc="F1A87C40" w:tentative="1">
      <w:start w:val="1"/>
      <w:numFmt w:val="lowerLetter"/>
      <w:lvlText w:val="%2."/>
      <w:lvlJc w:val="left"/>
      <w:pPr>
        <w:ind w:left="1440" w:hanging="360"/>
      </w:pPr>
    </w:lvl>
    <w:lvl w:ilvl="2" w:tplc="3892C50A" w:tentative="1">
      <w:start w:val="1"/>
      <w:numFmt w:val="lowerRoman"/>
      <w:lvlText w:val="%3."/>
      <w:lvlJc w:val="right"/>
      <w:pPr>
        <w:ind w:left="2160" w:hanging="180"/>
      </w:pPr>
    </w:lvl>
    <w:lvl w:ilvl="3" w:tplc="CCF2016E" w:tentative="1">
      <w:start w:val="1"/>
      <w:numFmt w:val="decimal"/>
      <w:lvlText w:val="%4."/>
      <w:lvlJc w:val="left"/>
      <w:pPr>
        <w:ind w:left="2880" w:hanging="360"/>
      </w:pPr>
    </w:lvl>
    <w:lvl w:ilvl="4" w:tplc="3B047B1E" w:tentative="1">
      <w:start w:val="1"/>
      <w:numFmt w:val="lowerLetter"/>
      <w:lvlText w:val="%5."/>
      <w:lvlJc w:val="left"/>
      <w:pPr>
        <w:ind w:left="3600" w:hanging="360"/>
      </w:pPr>
    </w:lvl>
    <w:lvl w:ilvl="5" w:tplc="A16E7AA2" w:tentative="1">
      <w:start w:val="1"/>
      <w:numFmt w:val="lowerRoman"/>
      <w:lvlText w:val="%6."/>
      <w:lvlJc w:val="right"/>
      <w:pPr>
        <w:ind w:left="4320" w:hanging="180"/>
      </w:pPr>
    </w:lvl>
    <w:lvl w:ilvl="6" w:tplc="400EAD2C" w:tentative="1">
      <w:start w:val="1"/>
      <w:numFmt w:val="decimal"/>
      <w:lvlText w:val="%7."/>
      <w:lvlJc w:val="left"/>
      <w:pPr>
        <w:ind w:left="5040" w:hanging="360"/>
      </w:pPr>
    </w:lvl>
    <w:lvl w:ilvl="7" w:tplc="DD18969E" w:tentative="1">
      <w:start w:val="1"/>
      <w:numFmt w:val="lowerLetter"/>
      <w:lvlText w:val="%8."/>
      <w:lvlJc w:val="left"/>
      <w:pPr>
        <w:ind w:left="5760" w:hanging="360"/>
      </w:pPr>
    </w:lvl>
    <w:lvl w:ilvl="8" w:tplc="979234B0" w:tentative="1">
      <w:start w:val="1"/>
      <w:numFmt w:val="lowerRoman"/>
      <w:lvlText w:val="%9."/>
      <w:lvlJc w:val="right"/>
      <w:pPr>
        <w:ind w:left="6480" w:hanging="180"/>
      </w:pPr>
    </w:lvl>
  </w:abstractNum>
  <w:abstractNum w:abstractNumId="14" w15:restartNumberingAfterBreak="0">
    <w:nsid w:val="51CD50D9"/>
    <w:multiLevelType w:val="hybridMultilevel"/>
    <w:tmpl w:val="FFFFFFFF"/>
    <w:lvl w:ilvl="0" w:tplc="389E6258">
      <w:start w:val="1"/>
      <w:numFmt w:val="decimal"/>
      <w:lvlText w:val="%1."/>
      <w:lvlJc w:val="left"/>
      <w:pPr>
        <w:ind w:left="720" w:hanging="360"/>
      </w:pPr>
    </w:lvl>
    <w:lvl w:ilvl="1" w:tplc="2380286C">
      <w:start w:val="1"/>
      <w:numFmt w:val="lowerLetter"/>
      <w:lvlText w:val="%2."/>
      <w:lvlJc w:val="left"/>
      <w:pPr>
        <w:ind w:left="1440" w:hanging="360"/>
      </w:pPr>
    </w:lvl>
    <w:lvl w:ilvl="2" w:tplc="18586DA0">
      <w:start w:val="1"/>
      <w:numFmt w:val="lowerRoman"/>
      <w:lvlText w:val="%3."/>
      <w:lvlJc w:val="right"/>
      <w:pPr>
        <w:ind w:left="2160" w:hanging="180"/>
      </w:pPr>
    </w:lvl>
    <w:lvl w:ilvl="3" w:tplc="F6CA3B7E">
      <w:start w:val="1"/>
      <w:numFmt w:val="decimal"/>
      <w:lvlText w:val="%4."/>
      <w:lvlJc w:val="left"/>
      <w:pPr>
        <w:ind w:left="2880" w:hanging="360"/>
      </w:pPr>
    </w:lvl>
    <w:lvl w:ilvl="4" w:tplc="AF68C5AE">
      <w:start w:val="1"/>
      <w:numFmt w:val="lowerLetter"/>
      <w:lvlText w:val="%5."/>
      <w:lvlJc w:val="left"/>
      <w:pPr>
        <w:ind w:left="3600" w:hanging="360"/>
      </w:pPr>
    </w:lvl>
    <w:lvl w:ilvl="5" w:tplc="54081B4A">
      <w:start w:val="1"/>
      <w:numFmt w:val="lowerRoman"/>
      <w:lvlText w:val="%6."/>
      <w:lvlJc w:val="right"/>
      <w:pPr>
        <w:ind w:left="4320" w:hanging="180"/>
      </w:pPr>
    </w:lvl>
    <w:lvl w:ilvl="6" w:tplc="6DA850DA">
      <w:start w:val="1"/>
      <w:numFmt w:val="decimal"/>
      <w:lvlText w:val="%7."/>
      <w:lvlJc w:val="left"/>
      <w:pPr>
        <w:ind w:left="5040" w:hanging="360"/>
      </w:pPr>
    </w:lvl>
    <w:lvl w:ilvl="7" w:tplc="102472E8">
      <w:start w:val="1"/>
      <w:numFmt w:val="lowerLetter"/>
      <w:lvlText w:val="%8."/>
      <w:lvlJc w:val="left"/>
      <w:pPr>
        <w:ind w:left="5760" w:hanging="360"/>
      </w:pPr>
    </w:lvl>
    <w:lvl w:ilvl="8" w:tplc="C12AF5E8">
      <w:start w:val="1"/>
      <w:numFmt w:val="lowerRoman"/>
      <w:lvlText w:val="%9."/>
      <w:lvlJc w:val="right"/>
      <w:pPr>
        <w:ind w:left="6480" w:hanging="180"/>
      </w:pPr>
    </w:lvl>
  </w:abstractNum>
  <w:abstractNum w:abstractNumId="15" w15:restartNumberingAfterBreak="0">
    <w:nsid w:val="54157BCC"/>
    <w:multiLevelType w:val="hybridMultilevel"/>
    <w:tmpl w:val="1F101E4C"/>
    <w:lvl w:ilvl="0" w:tplc="2070EDE8">
      <w:start w:val="1"/>
      <w:numFmt w:val="upperRoman"/>
      <w:lvlText w:val="%1."/>
      <w:lvlJc w:val="left"/>
      <w:pPr>
        <w:ind w:left="1080" w:hanging="720"/>
      </w:pPr>
      <w:rPr>
        <w:rFonts w:hint="default"/>
      </w:rPr>
    </w:lvl>
    <w:lvl w:ilvl="1" w:tplc="8F287818" w:tentative="1">
      <w:start w:val="1"/>
      <w:numFmt w:val="lowerLetter"/>
      <w:lvlText w:val="%2."/>
      <w:lvlJc w:val="left"/>
      <w:pPr>
        <w:ind w:left="1440" w:hanging="360"/>
      </w:pPr>
    </w:lvl>
    <w:lvl w:ilvl="2" w:tplc="CF18610C" w:tentative="1">
      <w:start w:val="1"/>
      <w:numFmt w:val="lowerRoman"/>
      <w:lvlText w:val="%3."/>
      <w:lvlJc w:val="right"/>
      <w:pPr>
        <w:ind w:left="2160" w:hanging="180"/>
      </w:pPr>
    </w:lvl>
    <w:lvl w:ilvl="3" w:tplc="9E4A0546" w:tentative="1">
      <w:start w:val="1"/>
      <w:numFmt w:val="decimal"/>
      <w:lvlText w:val="%4."/>
      <w:lvlJc w:val="left"/>
      <w:pPr>
        <w:ind w:left="2880" w:hanging="360"/>
      </w:pPr>
    </w:lvl>
    <w:lvl w:ilvl="4" w:tplc="D1AA0D8E" w:tentative="1">
      <w:start w:val="1"/>
      <w:numFmt w:val="lowerLetter"/>
      <w:lvlText w:val="%5."/>
      <w:lvlJc w:val="left"/>
      <w:pPr>
        <w:ind w:left="3600" w:hanging="360"/>
      </w:pPr>
    </w:lvl>
    <w:lvl w:ilvl="5" w:tplc="59488A58" w:tentative="1">
      <w:start w:val="1"/>
      <w:numFmt w:val="lowerRoman"/>
      <w:lvlText w:val="%6."/>
      <w:lvlJc w:val="right"/>
      <w:pPr>
        <w:ind w:left="4320" w:hanging="180"/>
      </w:pPr>
    </w:lvl>
    <w:lvl w:ilvl="6" w:tplc="E4FE8E28" w:tentative="1">
      <w:start w:val="1"/>
      <w:numFmt w:val="decimal"/>
      <w:lvlText w:val="%7."/>
      <w:lvlJc w:val="left"/>
      <w:pPr>
        <w:ind w:left="5040" w:hanging="360"/>
      </w:pPr>
    </w:lvl>
    <w:lvl w:ilvl="7" w:tplc="2C0E9B68" w:tentative="1">
      <w:start w:val="1"/>
      <w:numFmt w:val="lowerLetter"/>
      <w:lvlText w:val="%8."/>
      <w:lvlJc w:val="left"/>
      <w:pPr>
        <w:ind w:left="5760" w:hanging="360"/>
      </w:pPr>
    </w:lvl>
    <w:lvl w:ilvl="8" w:tplc="4C7EE20C" w:tentative="1">
      <w:start w:val="1"/>
      <w:numFmt w:val="lowerRoman"/>
      <w:lvlText w:val="%9."/>
      <w:lvlJc w:val="right"/>
      <w:pPr>
        <w:ind w:left="6480" w:hanging="180"/>
      </w:pPr>
    </w:lvl>
  </w:abstractNum>
  <w:abstractNum w:abstractNumId="16" w15:restartNumberingAfterBreak="0">
    <w:nsid w:val="55045415"/>
    <w:multiLevelType w:val="hybridMultilevel"/>
    <w:tmpl w:val="C7A6DBC8"/>
    <w:lvl w:ilvl="0" w:tplc="89982156">
      <w:start w:val="1"/>
      <w:numFmt w:val="upperRoman"/>
      <w:lvlText w:val="%1."/>
      <w:lvlJc w:val="left"/>
      <w:pPr>
        <w:ind w:left="1080" w:hanging="720"/>
      </w:pPr>
      <w:rPr>
        <w:rFonts w:hint="default"/>
      </w:rPr>
    </w:lvl>
    <w:lvl w:ilvl="1" w:tplc="30C69BEC" w:tentative="1">
      <w:start w:val="1"/>
      <w:numFmt w:val="lowerLetter"/>
      <w:lvlText w:val="%2."/>
      <w:lvlJc w:val="left"/>
      <w:pPr>
        <w:ind w:left="1440" w:hanging="360"/>
      </w:pPr>
    </w:lvl>
    <w:lvl w:ilvl="2" w:tplc="321E0E3A" w:tentative="1">
      <w:start w:val="1"/>
      <w:numFmt w:val="lowerRoman"/>
      <w:lvlText w:val="%3."/>
      <w:lvlJc w:val="right"/>
      <w:pPr>
        <w:ind w:left="2160" w:hanging="180"/>
      </w:pPr>
    </w:lvl>
    <w:lvl w:ilvl="3" w:tplc="4BCC6374" w:tentative="1">
      <w:start w:val="1"/>
      <w:numFmt w:val="decimal"/>
      <w:lvlText w:val="%4."/>
      <w:lvlJc w:val="left"/>
      <w:pPr>
        <w:ind w:left="2880" w:hanging="360"/>
      </w:pPr>
    </w:lvl>
    <w:lvl w:ilvl="4" w:tplc="C876ECC6" w:tentative="1">
      <w:start w:val="1"/>
      <w:numFmt w:val="lowerLetter"/>
      <w:lvlText w:val="%5."/>
      <w:lvlJc w:val="left"/>
      <w:pPr>
        <w:ind w:left="3600" w:hanging="360"/>
      </w:pPr>
    </w:lvl>
    <w:lvl w:ilvl="5" w:tplc="1C123318" w:tentative="1">
      <w:start w:val="1"/>
      <w:numFmt w:val="lowerRoman"/>
      <w:lvlText w:val="%6."/>
      <w:lvlJc w:val="right"/>
      <w:pPr>
        <w:ind w:left="4320" w:hanging="180"/>
      </w:pPr>
    </w:lvl>
    <w:lvl w:ilvl="6" w:tplc="819EF608" w:tentative="1">
      <w:start w:val="1"/>
      <w:numFmt w:val="decimal"/>
      <w:lvlText w:val="%7."/>
      <w:lvlJc w:val="left"/>
      <w:pPr>
        <w:ind w:left="5040" w:hanging="360"/>
      </w:pPr>
    </w:lvl>
    <w:lvl w:ilvl="7" w:tplc="1BB0ACFE" w:tentative="1">
      <w:start w:val="1"/>
      <w:numFmt w:val="lowerLetter"/>
      <w:lvlText w:val="%8."/>
      <w:lvlJc w:val="left"/>
      <w:pPr>
        <w:ind w:left="5760" w:hanging="360"/>
      </w:pPr>
    </w:lvl>
    <w:lvl w:ilvl="8" w:tplc="2690BA56" w:tentative="1">
      <w:start w:val="1"/>
      <w:numFmt w:val="lowerRoman"/>
      <w:lvlText w:val="%9."/>
      <w:lvlJc w:val="right"/>
      <w:pPr>
        <w:ind w:left="6480" w:hanging="180"/>
      </w:pPr>
    </w:lvl>
  </w:abstractNum>
  <w:abstractNum w:abstractNumId="17" w15:restartNumberingAfterBreak="0">
    <w:nsid w:val="5D5E236B"/>
    <w:multiLevelType w:val="hybridMultilevel"/>
    <w:tmpl w:val="6D2834AC"/>
    <w:lvl w:ilvl="0" w:tplc="F566D6F4">
      <w:start w:val="1"/>
      <w:numFmt w:val="decimal"/>
      <w:lvlText w:val="%1."/>
      <w:lvlJc w:val="left"/>
      <w:pPr>
        <w:ind w:left="720" w:hanging="360"/>
      </w:pPr>
      <w:rPr>
        <w:rFonts w:hint="default"/>
      </w:rPr>
    </w:lvl>
    <w:lvl w:ilvl="1" w:tplc="0E5405EA" w:tentative="1">
      <w:start w:val="1"/>
      <w:numFmt w:val="lowerLetter"/>
      <w:lvlText w:val="%2."/>
      <w:lvlJc w:val="left"/>
      <w:pPr>
        <w:ind w:left="1440" w:hanging="360"/>
      </w:pPr>
    </w:lvl>
    <w:lvl w:ilvl="2" w:tplc="4380D5AC" w:tentative="1">
      <w:start w:val="1"/>
      <w:numFmt w:val="lowerRoman"/>
      <w:lvlText w:val="%3."/>
      <w:lvlJc w:val="right"/>
      <w:pPr>
        <w:ind w:left="2160" w:hanging="180"/>
      </w:pPr>
    </w:lvl>
    <w:lvl w:ilvl="3" w:tplc="BB6E0FF0" w:tentative="1">
      <w:start w:val="1"/>
      <w:numFmt w:val="decimal"/>
      <w:lvlText w:val="%4."/>
      <w:lvlJc w:val="left"/>
      <w:pPr>
        <w:ind w:left="2880" w:hanging="360"/>
      </w:pPr>
    </w:lvl>
    <w:lvl w:ilvl="4" w:tplc="B0A41364" w:tentative="1">
      <w:start w:val="1"/>
      <w:numFmt w:val="lowerLetter"/>
      <w:lvlText w:val="%5."/>
      <w:lvlJc w:val="left"/>
      <w:pPr>
        <w:ind w:left="3600" w:hanging="360"/>
      </w:pPr>
    </w:lvl>
    <w:lvl w:ilvl="5" w:tplc="6330C60E" w:tentative="1">
      <w:start w:val="1"/>
      <w:numFmt w:val="lowerRoman"/>
      <w:lvlText w:val="%6."/>
      <w:lvlJc w:val="right"/>
      <w:pPr>
        <w:ind w:left="4320" w:hanging="180"/>
      </w:pPr>
    </w:lvl>
    <w:lvl w:ilvl="6" w:tplc="79981DBE" w:tentative="1">
      <w:start w:val="1"/>
      <w:numFmt w:val="decimal"/>
      <w:lvlText w:val="%7."/>
      <w:lvlJc w:val="left"/>
      <w:pPr>
        <w:ind w:left="5040" w:hanging="360"/>
      </w:pPr>
    </w:lvl>
    <w:lvl w:ilvl="7" w:tplc="6752353E" w:tentative="1">
      <w:start w:val="1"/>
      <w:numFmt w:val="lowerLetter"/>
      <w:lvlText w:val="%8."/>
      <w:lvlJc w:val="left"/>
      <w:pPr>
        <w:ind w:left="5760" w:hanging="360"/>
      </w:pPr>
    </w:lvl>
    <w:lvl w:ilvl="8" w:tplc="DAC07A94" w:tentative="1">
      <w:start w:val="1"/>
      <w:numFmt w:val="lowerRoman"/>
      <w:lvlText w:val="%9."/>
      <w:lvlJc w:val="right"/>
      <w:pPr>
        <w:ind w:left="6480" w:hanging="180"/>
      </w:pPr>
    </w:lvl>
  </w:abstractNum>
  <w:abstractNum w:abstractNumId="18" w15:restartNumberingAfterBreak="0">
    <w:nsid w:val="69AB2532"/>
    <w:multiLevelType w:val="hybridMultilevel"/>
    <w:tmpl w:val="FFFFFFFF"/>
    <w:lvl w:ilvl="0" w:tplc="D8EA0092">
      <w:start w:val="1"/>
      <w:numFmt w:val="decimal"/>
      <w:lvlText w:val="%1."/>
      <w:lvlJc w:val="left"/>
      <w:pPr>
        <w:ind w:left="720" w:hanging="360"/>
      </w:pPr>
    </w:lvl>
    <w:lvl w:ilvl="1" w:tplc="3FECC9C2">
      <w:start w:val="1"/>
      <w:numFmt w:val="lowerLetter"/>
      <w:lvlText w:val="%2."/>
      <w:lvlJc w:val="left"/>
      <w:pPr>
        <w:ind w:left="1440" w:hanging="360"/>
      </w:pPr>
    </w:lvl>
    <w:lvl w:ilvl="2" w:tplc="9E46542C">
      <w:start w:val="1"/>
      <w:numFmt w:val="lowerRoman"/>
      <w:lvlText w:val="%3."/>
      <w:lvlJc w:val="right"/>
      <w:pPr>
        <w:ind w:left="2160" w:hanging="180"/>
      </w:pPr>
    </w:lvl>
    <w:lvl w:ilvl="3" w:tplc="B10E119C">
      <w:start w:val="1"/>
      <w:numFmt w:val="decimal"/>
      <w:lvlText w:val="%4."/>
      <w:lvlJc w:val="left"/>
      <w:pPr>
        <w:ind w:left="2880" w:hanging="360"/>
      </w:pPr>
    </w:lvl>
    <w:lvl w:ilvl="4" w:tplc="D8A852B0">
      <w:start w:val="1"/>
      <w:numFmt w:val="lowerLetter"/>
      <w:lvlText w:val="%5."/>
      <w:lvlJc w:val="left"/>
      <w:pPr>
        <w:ind w:left="3600" w:hanging="360"/>
      </w:pPr>
    </w:lvl>
    <w:lvl w:ilvl="5" w:tplc="8D24FFAA">
      <w:start w:val="1"/>
      <w:numFmt w:val="lowerRoman"/>
      <w:lvlText w:val="%6."/>
      <w:lvlJc w:val="right"/>
      <w:pPr>
        <w:ind w:left="4320" w:hanging="180"/>
      </w:pPr>
    </w:lvl>
    <w:lvl w:ilvl="6" w:tplc="C324B13E">
      <w:start w:val="1"/>
      <w:numFmt w:val="decimal"/>
      <w:lvlText w:val="%7."/>
      <w:lvlJc w:val="left"/>
      <w:pPr>
        <w:ind w:left="5040" w:hanging="360"/>
      </w:pPr>
    </w:lvl>
    <w:lvl w:ilvl="7" w:tplc="15B8B72E">
      <w:start w:val="1"/>
      <w:numFmt w:val="lowerLetter"/>
      <w:lvlText w:val="%8."/>
      <w:lvlJc w:val="left"/>
      <w:pPr>
        <w:ind w:left="5760" w:hanging="360"/>
      </w:pPr>
    </w:lvl>
    <w:lvl w:ilvl="8" w:tplc="F6E66AB6">
      <w:start w:val="1"/>
      <w:numFmt w:val="lowerRoman"/>
      <w:lvlText w:val="%9."/>
      <w:lvlJc w:val="right"/>
      <w:pPr>
        <w:ind w:left="6480" w:hanging="180"/>
      </w:pPr>
    </w:lvl>
  </w:abstractNum>
  <w:abstractNum w:abstractNumId="19" w15:restartNumberingAfterBreak="0">
    <w:nsid w:val="6B4D3BD2"/>
    <w:multiLevelType w:val="hybridMultilevel"/>
    <w:tmpl w:val="FFFFFFFF"/>
    <w:lvl w:ilvl="0" w:tplc="8ECA4630">
      <w:start w:val="1"/>
      <w:numFmt w:val="decimal"/>
      <w:lvlText w:val="%1."/>
      <w:lvlJc w:val="left"/>
      <w:pPr>
        <w:ind w:left="720" w:hanging="360"/>
      </w:pPr>
    </w:lvl>
    <w:lvl w:ilvl="1" w:tplc="FB8A9526">
      <w:start w:val="1"/>
      <w:numFmt w:val="lowerLetter"/>
      <w:lvlText w:val="%2."/>
      <w:lvlJc w:val="left"/>
      <w:pPr>
        <w:ind w:left="1440" w:hanging="360"/>
      </w:pPr>
    </w:lvl>
    <w:lvl w:ilvl="2" w:tplc="81AAB89E">
      <w:start w:val="1"/>
      <w:numFmt w:val="lowerRoman"/>
      <w:lvlText w:val="%3."/>
      <w:lvlJc w:val="right"/>
      <w:pPr>
        <w:ind w:left="2160" w:hanging="180"/>
      </w:pPr>
    </w:lvl>
    <w:lvl w:ilvl="3" w:tplc="3B86F7C4">
      <w:start w:val="1"/>
      <w:numFmt w:val="decimal"/>
      <w:lvlText w:val="%4."/>
      <w:lvlJc w:val="left"/>
      <w:pPr>
        <w:ind w:left="2880" w:hanging="360"/>
      </w:pPr>
    </w:lvl>
    <w:lvl w:ilvl="4" w:tplc="DCEE41C0">
      <w:start w:val="1"/>
      <w:numFmt w:val="lowerLetter"/>
      <w:lvlText w:val="%5."/>
      <w:lvlJc w:val="left"/>
      <w:pPr>
        <w:ind w:left="3600" w:hanging="360"/>
      </w:pPr>
    </w:lvl>
    <w:lvl w:ilvl="5" w:tplc="B0BA4A6E">
      <w:start w:val="1"/>
      <w:numFmt w:val="lowerRoman"/>
      <w:lvlText w:val="%6."/>
      <w:lvlJc w:val="right"/>
      <w:pPr>
        <w:ind w:left="4320" w:hanging="180"/>
      </w:pPr>
    </w:lvl>
    <w:lvl w:ilvl="6" w:tplc="C7CC5398">
      <w:start w:val="1"/>
      <w:numFmt w:val="decimal"/>
      <w:lvlText w:val="%7."/>
      <w:lvlJc w:val="left"/>
      <w:pPr>
        <w:ind w:left="5040" w:hanging="360"/>
      </w:pPr>
    </w:lvl>
    <w:lvl w:ilvl="7" w:tplc="5426CA9A">
      <w:start w:val="1"/>
      <w:numFmt w:val="lowerLetter"/>
      <w:lvlText w:val="%8."/>
      <w:lvlJc w:val="left"/>
      <w:pPr>
        <w:ind w:left="5760" w:hanging="360"/>
      </w:pPr>
    </w:lvl>
    <w:lvl w:ilvl="8" w:tplc="2DA4386A">
      <w:start w:val="1"/>
      <w:numFmt w:val="lowerRoman"/>
      <w:lvlText w:val="%9."/>
      <w:lvlJc w:val="right"/>
      <w:pPr>
        <w:ind w:left="6480" w:hanging="180"/>
      </w:pPr>
    </w:lvl>
  </w:abstractNum>
  <w:abstractNum w:abstractNumId="20" w15:restartNumberingAfterBreak="0">
    <w:nsid w:val="6B859BEB"/>
    <w:multiLevelType w:val="hybridMultilevel"/>
    <w:tmpl w:val="FFFFFFFF"/>
    <w:lvl w:ilvl="0" w:tplc="30D47CC0">
      <w:start w:val="1"/>
      <w:numFmt w:val="decimal"/>
      <w:lvlText w:val="%1."/>
      <w:lvlJc w:val="left"/>
      <w:pPr>
        <w:ind w:left="720" w:hanging="360"/>
      </w:pPr>
    </w:lvl>
    <w:lvl w:ilvl="1" w:tplc="416A153C">
      <w:start w:val="1"/>
      <w:numFmt w:val="lowerLetter"/>
      <w:lvlText w:val="%2."/>
      <w:lvlJc w:val="left"/>
      <w:pPr>
        <w:ind w:left="1440" w:hanging="360"/>
      </w:pPr>
    </w:lvl>
    <w:lvl w:ilvl="2" w:tplc="F7A8AFC0">
      <w:start w:val="1"/>
      <w:numFmt w:val="lowerRoman"/>
      <w:lvlText w:val="%3."/>
      <w:lvlJc w:val="right"/>
      <w:pPr>
        <w:ind w:left="2160" w:hanging="180"/>
      </w:pPr>
    </w:lvl>
    <w:lvl w:ilvl="3" w:tplc="EF6CB426">
      <w:start w:val="1"/>
      <w:numFmt w:val="decimal"/>
      <w:lvlText w:val="%4."/>
      <w:lvlJc w:val="left"/>
      <w:pPr>
        <w:ind w:left="2880" w:hanging="360"/>
      </w:pPr>
    </w:lvl>
    <w:lvl w:ilvl="4" w:tplc="AF98D70E">
      <w:start w:val="1"/>
      <w:numFmt w:val="lowerLetter"/>
      <w:lvlText w:val="%5."/>
      <w:lvlJc w:val="left"/>
      <w:pPr>
        <w:ind w:left="3600" w:hanging="360"/>
      </w:pPr>
    </w:lvl>
    <w:lvl w:ilvl="5" w:tplc="CF8CEDBE">
      <w:start w:val="1"/>
      <w:numFmt w:val="lowerRoman"/>
      <w:lvlText w:val="%6."/>
      <w:lvlJc w:val="right"/>
      <w:pPr>
        <w:ind w:left="4320" w:hanging="180"/>
      </w:pPr>
    </w:lvl>
    <w:lvl w:ilvl="6" w:tplc="2436B902">
      <w:start w:val="1"/>
      <w:numFmt w:val="decimal"/>
      <w:lvlText w:val="%7."/>
      <w:lvlJc w:val="left"/>
      <w:pPr>
        <w:ind w:left="5040" w:hanging="360"/>
      </w:pPr>
    </w:lvl>
    <w:lvl w:ilvl="7" w:tplc="15388592">
      <w:start w:val="1"/>
      <w:numFmt w:val="lowerLetter"/>
      <w:lvlText w:val="%8."/>
      <w:lvlJc w:val="left"/>
      <w:pPr>
        <w:ind w:left="5760" w:hanging="360"/>
      </w:pPr>
    </w:lvl>
    <w:lvl w:ilvl="8" w:tplc="B690505E">
      <w:start w:val="1"/>
      <w:numFmt w:val="lowerRoman"/>
      <w:lvlText w:val="%9."/>
      <w:lvlJc w:val="right"/>
      <w:pPr>
        <w:ind w:left="6480" w:hanging="180"/>
      </w:pPr>
    </w:lvl>
  </w:abstractNum>
  <w:abstractNum w:abstractNumId="21" w15:restartNumberingAfterBreak="0">
    <w:nsid w:val="6D3813C5"/>
    <w:multiLevelType w:val="hybridMultilevel"/>
    <w:tmpl w:val="58E829C6"/>
    <w:lvl w:ilvl="0" w:tplc="F55454FC">
      <w:start w:val="1"/>
      <w:numFmt w:val="decimal"/>
      <w:lvlText w:val="%1."/>
      <w:lvlJc w:val="left"/>
      <w:pPr>
        <w:ind w:left="720" w:hanging="360"/>
      </w:pPr>
    </w:lvl>
    <w:lvl w:ilvl="1" w:tplc="9FBEAD9A">
      <w:start w:val="1"/>
      <w:numFmt w:val="lowerLetter"/>
      <w:lvlText w:val="%2."/>
      <w:lvlJc w:val="left"/>
      <w:pPr>
        <w:ind w:left="1440" w:hanging="360"/>
      </w:pPr>
    </w:lvl>
    <w:lvl w:ilvl="2" w:tplc="5EFC5086">
      <w:start w:val="1"/>
      <w:numFmt w:val="lowerRoman"/>
      <w:lvlText w:val="%3."/>
      <w:lvlJc w:val="right"/>
      <w:pPr>
        <w:ind w:left="2160" w:hanging="180"/>
      </w:pPr>
    </w:lvl>
    <w:lvl w:ilvl="3" w:tplc="B518D34A">
      <w:start w:val="1"/>
      <w:numFmt w:val="decimal"/>
      <w:lvlText w:val="%4."/>
      <w:lvlJc w:val="left"/>
      <w:pPr>
        <w:ind w:left="2880" w:hanging="360"/>
      </w:pPr>
    </w:lvl>
    <w:lvl w:ilvl="4" w:tplc="345E4AA2">
      <w:start w:val="1"/>
      <w:numFmt w:val="lowerLetter"/>
      <w:lvlText w:val="%5."/>
      <w:lvlJc w:val="left"/>
      <w:pPr>
        <w:ind w:left="3600" w:hanging="360"/>
      </w:pPr>
    </w:lvl>
    <w:lvl w:ilvl="5" w:tplc="B2B6A622">
      <w:start w:val="1"/>
      <w:numFmt w:val="lowerRoman"/>
      <w:lvlText w:val="%6."/>
      <w:lvlJc w:val="right"/>
      <w:pPr>
        <w:ind w:left="4320" w:hanging="180"/>
      </w:pPr>
    </w:lvl>
    <w:lvl w:ilvl="6" w:tplc="F008035E">
      <w:start w:val="1"/>
      <w:numFmt w:val="decimal"/>
      <w:lvlText w:val="%7."/>
      <w:lvlJc w:val="left"/>
      <w:pPr>
        <w:ind w:left="5040" w:hanging="360"/>
      </w:pPr>
    </w:lvl>
    <w:lvl w:ilvl="7" w:tplc="64F6B428">
      <w:start w:val="1"/>
      <w:numFmt w:val="lowerLetter"/>
      <w:lvlText w:val="%8."/>
      <w:lvlJc w:val="left"/>
      <w:pPr>
        <w:ind w:left="5760" w:hanging="360"/>
      </w:pPr>
    </w:lvl>
    <w:lvl w:ilvl="8" w:tplc="DD441C42">
      <w:start w:val="1"/>
      <w:numFmt w:val="lowerRoman"/>
      <w:lvlText w:val="%9."/>
      <w:lvlJc w:val="right"/>
      <w:pPr>
        <w:ind w:left="6480" w:hanging="180"/>
      </w:pPr>
    </w:lvl>
  </w:abstractNum>
  <w:abstractNum w:abstractNumId="22" w15:restartNumberingAfterBreak="0">
    <w:nsid w:val="6F502CE1"/>
    <w:multiLevelType w:val="singleLevel"/>
    <w:tmpl w:val="ACB0828A"/>
    <w:lvl w:ilvl="0">
      <w:start w:val="1"/>
      <w:numFmt w:val="decimal"/>
      <w:pStyle w:val="OrderingParagraph"/>
      <w:lvlText w:val="%1."/>
      <w:lvlJc w:val="left"/>
      <w:pPr>
        <w:tabs>
          <w:tab w:val="num" w:pos="720"/>
        </w:tabs>
        <w:ind w:left="720" w:hanging="720"/>
      </w:pPr>
      <w:rPr>
        <w:b w:val="0"/>
      </w:rPr>
    </w:lvl>
  </w:abstractNum>
  <w:abstractNum w:abstractNumId="23" w15:restartNumberingAfterBreak="0">
    <w:nsid w:val="70D61558"/>
    <w:multiLevelType w:val="hybridMultilevel"/>
    <w:tmpl w:val="70784624"/>
    <w:lvl w:ilvl="0" w:tplc="8E9809DC">
      <w:start w:val="1"/>
      <w:numFmt w:val="upperRoman"/>
      <w:pStyle w:val="Heading1"/>
      <w:lvlText w:val="%1."/>
      <w:lvlJc w:val="right"/>
      <w:pPr>
        <w:ind w:left="720" w:hanging="360"/>
      </w:pPr>
    </w:lvl>
    <w:lvl w:ilvl="1" w:tplc="882EF4BA" w:tentative="1">
      <w:start w:val="1"/>
      <w:numFmt w:val="lowerLetter"/>
      <w:lvlText w:val="%2."/>
      <w:lvlJc w:val="left"/>
      <w:pPr>
        <w:ind w:left="1440" w:hanging="360"/>
      </w:pPr>
    </w:lvl>
    <w:lvl w:ilvl="2" w:tplc="0A9A202E" w:tentative="1">
      <w:start w:val="1"/>
      <w:numFmt w:val="lowerRoman"/>
      <w:lvlText w:val="%3."/>
      <w:lvlJc w:val="right"/>
      <w:pPr>
        <w:ind w:left="2160" w:hanging="180"/>
      </w:pPr>
    </w:lvl>
    <w:lvl w:ilvl="3" w:tplc="E93652CA" w:tentative="1">
      <w:start w:val="1"/>
      <w:numFmt w:val="decimal"/>
      <w:lvlText w:val="%4."/>
      <w:lvlJc w:val="left"/>
      <w:pPr>
        <w:ind w:left="2880" w:hanging="360"/>
      </w:pPr>
    </w:lvl>
    <w:lvl w:ilvl="4" w:tplc="769E09E0" w:tentative="1">
      <w:start w:val="1"/>
      <w:numFmt w:val="lowerLetter"/>
      <w:lvlText w:val="%5."/>
      <w:lvlJc w:val="left"/>
      <w:pPr>
        <w:ind w:left="3600" w:hanging="360"/>
      </w:pPr>
    </w:lvl>
    <w:lvl w:ilvl="5" w:tplc="4230A744" w:tentative="1">
      <w:start w:val="1"/>
      <w:numFmt w:val="lowerRoman"/>
      <w:lvlText w:val="%6."/>
      <w:lvlJc w:val="right"/>
      <w:pPr>
        <w:ind w:left="4320" w:hanging="180"/>
      </w:pPr>
    </w:lvl>
    <w:lvl w:ilvl="6" w:tplc="64628FC6" w:tentative="1">
      <w:start w:val="1"/>
      <w:numFmt w:val="decimal"/>
      <w:lvlText w:val="%7."/>
      <w:lvlJc w:val="left"/>
      <w:pPr>
        <w:ind w:left="5040" w:hanging="360"/>
      </w:pPr>
    </w:lvl>
    <w:lvl w:ilvl="7" w:tplc="1A8CC064" w:tentative="1">
      <w:start w:val="1"/>
      <w:numFmt w:val="lowerLetter"/>
      <w:lvlText w:val="%8."/>
      <w:lvlJc w:val="left"/>
      <w:pPr>
        <w:ind w:left="5760" w:hanging="360"/>
      </w:pPr>
    </w:lvl>
    <w:lvl w:ilvl="8" w:tplc="2F60E8C4" w:tentative="1">
      <w:start w:val="1"/>
      <w:numFmt w:val="lowerRoman"/>
      <w:lvlText w:val="%9."/>
      <w:lvlJc w:val="right"/>
      <w:pPr>
        <w:ind w:left="6480" w:hanging="180"/>
      </w:pPr>
    </w:lvl>
  </w:abstractNum>
  <w:abstractNum w:abstractNumId="24" w15:restartNumberingAfterBreak="0">
    <w:nsid w:val="713464C5"/>
    <w:multiLevelType w:val="hybridMultilevel"/>
    <w:tmpl w:val="FFFFFFFF"/>
    <w:lvl w:ilvl="0" w:tplc="5D96AC88">
      <w:start w:val="1"/>
      <w:numFmt w:val="decimal"/>
      <w:lvlText w:val="%1."/>
      <w:lvlJc w:val="left"/>
      <w:pPr>
        <w:ind w:left="720" w:hanging="360"/>
      </w:pPr>
    </w:lvl>
    <w:lvl w:ilvl="1" w:tplc="938E5736">
      <w:start w:val="1"/>
      <w:numFmt w:val="lowerLetter"/>
      <w:lvlText w:val="%2."/>
      <w:lvlJc w:val="left"/>
      <w:pPr>
        <w:ind w:left="1440" w:hanging="360"/>
      </w:pPr>
    </w:lvl>
    <w:lvl w:ilvl="2" w:tplc="29CCE950">
      <w:start w:val="1"/>
      <w:numFmt w:val="lowerRoman"/>
      <w:lvlText w:val="%3."/>
      <w:lvlJc w:val="right"/>
      <w:pPr>
        <w:ind w:left="2160" w:hanging="180"/>
      </w:pPr>
    </w:lvl>
    <w:lvl w:ilvl="3" w:tplc="3F54F944">
      <w:start w:val="1"/>
      <w:numFmt w:val="decimal"/>
      <w:lvlText w:val="%4."/>
      <w:lvlJc w:val="left"/>
      <w:pPr>
        <w:ind w:left="2880" w:hanging="360"/>
      </w:pPr>
    </w:lvl>
    <w:lvl w:ilvl="4" w:tplc="53B4799C">
      <w:start w:val="1"/>
      <w:numFmt w:val="lowerLetter"/>
      <w:lvlText w:val="%5."/>
      <w:lvlJc w:val="left"/>
      <w:pPr>
        <w:ind w:left="3600" w:hanging="360"/>
      </w:pPr>
    </w:lvl>
    <w:lvl w:ilvl="5" w:tplc="E006E544">
      <w:start w:val="1"/>
      <w:numFmt w:val="lowerRoman"/>
      <w:lvlText w:val="%6."/>
      <w:lvlJc w:val="right"/>
      <w:pPr>
        <w:ind w:left="4320" w:hanging="180"/>
      </w:pPr>
    </w:lvl>
    <w:lvl w:ilvl="6" w:tplc="1D7EC1EA">
      <w:start w:val="1"/>
      <w:numFmt w:val="decimal"/>
      <w:lvlText w:val="%7."/>
      <w:lvlJc w:val="left"/>
      <w:pPr>
        <w:ind w:left="5040" w:hanging="360"/>
      </w:pPr>
    </w:lvl>
    <w:lvl w:ilvl="7" w:tplc="A83A69A0">
      <w:start w:val="1"/>
      <w:numFmt w:val="lowerLetter"/>
      <w:lvlText w:val="%8."/>
      <w:lvlJc w:val="left"/>
      <w:pPr>
        <w:ind w:left="5760" w:hanging="360"/>
      </w:pPr>
    </w:lvl>
    <w:lvl w:ilvl="8" w:tplc="B76A1274">
      <w:start w:val="1"/>
      <w:numFmt w:val="lowerRoman"/>
      <w:lvlText w:val="%9."/>
      <w:lvlJc w:val="right"/>
      <w:pPr>
        <w:ind w:left="6480" w:hanging="180"/>
      </w:pPr>
    </w:lvl>
  </w:abstractNum>
  <w:abstractNum w:abstractNumId="25" w15:restartNumberingAfterBreak="0">
    <w:nsid w:val="71C2A9C2"/>
    <w:multiLevelType w:val="hybridMultilevel"/>
    <w:tmpl w:val="FFFFFFFF"/>
    <w:lvl w:ilvl="0" w:tplc="AAFE73F8">
      <w:start w:val="1"/>
      <w:numFmt w:val="decimal"/>
      <w:lvlText w:val="%1."/>
      <w:lvlJc w:val="left"/>
      <w:pPr>
        <w:ind w:left="720" w:hanging="360"/>
      </w:pPr>
    </w:lvl>
    <w:lvl w:ilvl="1" w:tplc="81E24A98">
      <w:start w:val="1"/>
      <w:numFmt w:val="lowerLetter"/>
      <w:lvlText w:val="%2."/>
      <w:lvlJc w:val="left"/>
      <w:pPr>
        <w:ind w:left="1440" w:hanging="360"/>
      </w:pPr>
    </w:lvl>
    <w:lvl w:ilvl="2" w:tplc="2250DB34">
      <w:start w:val="1"/>
      <w:numFmt w:val="lowerRoman"/>
      <w:lvlText w:val="%3."/>
      <w:lvlJc w:val="right"/>
      <w:pPr>
        <w:ind w:left="2160" w:hanging="180"/>
      </w:pPr>
    </w:lvl>
    <w:lvl w:ilvl="3" w:tplc="1BCCE3F8">
      <w:start w:val="1"/>
      <w:numFmt w:val="decimal"/>
      <w:lvlText w:val="%4."/>
      <w:lvlJc w:val="left"/>
      <w:pPr>
        <w:ind w:left="2880" w:hanging="360"/>
      </w:pPr>
    </w:lvl>
    <w:lvl w:ilvl="4" w:tplc="3CE20086">
      <w:start w:val="1"/>
      <w:numFmt w:val="lowerLetter"/>
      <w:lvlText w:val="%5."/>
      <w:lvlJc w:val="left"/>
      <w:pPr>
        <w:ind w:left="3600" w:hanging="360"/>
      </w:pPr>
    </w:lvl>
    <w:lvl w:ilvl="5" w:tplc="9424AD6C">
      <w:start w:val="1"/>
      <w:numFmt w:val="lowerRoman"/>
      <w:lvlText w:val="%6."/>
      <w:lvlJc w:val="right"/>
      <w:pPr>
        <w:ind w:left="4320" w:hanging="180"/>
      </w:pPr>
    </w:lvl>
    <w:lvl w:ilvl="6" w:tplc="81FAB472">
      <w:start w:val="1"/>
      <w:numFmt w:val="decimal"/>
      <w:lvlText w:val="%7."/>
      <w:lvlJc w:val="left"/>
      <w:pPr>
        <w:ind w:left="5040" w:hanging="360"/>
      </w:pPr>
    </w:lvl>
    <w:lvl w:ilvl="7" w:tplc="F1C6E462">
      <w:start w:val="1"/>
      <w:numFmt w:val="lowerLetter"/>
      <w:lvlText w:val="%8."/>
      <w:lvlJc w:val="left"/>
      <w:pPr>
        <w:ind w:left="5760" w:hanging="360"/>
      </w:pPr>
    </w:lvl>
    <w:lvl w:ilvl="8" w:tplc="2788F97E">
      <w:start w:val="1"/>
      <w:numFmt w:val="lowerRoman"/>
      <w:lvlText w:val="%9."/>
      <w:lvlJc w:val="right"/>
      <w:pPr>
        <w:ind w:left="6480" w:hanging="180"/>
      </w:pPr>
    </w:lvl>
  </w:abstractNum>
  <w:abstractNum w:abstractNumId="26" w15:restartNumberingAfterBreak="0">
    <w:nsid w:val="75DF2EA7"/>
    <w:multiLevelType w:val="hybridMultilevel"/>
    <w:tmpl w:val="058AFAFC"/>
    <w:lvl w:ilvl="0" w:tplc="DA4ADCAA">
      <w:start w:val="1"/>
      <w:numFmt w:val="decimal"/>
      <w:lvlText w:val="%1."/>
      <w:lvlJc w:val="left"/>
      <w:pPr>
        <w:ind w:left="720" w:hanging="360"/>
      </w:pPr>
      <w:rPr>
        <w:rFonts w:hint="default"/>
      </w:rPr>
    </w:lvl>
    <w:lvl w:ilvl="1" w:tplc="204EAACA" w:tentative="1">
      <w:start w:val="1"/>
      <w:numFmt w:val="lowerLetter"/>
      <w:lvlText w:val="%2."/>
      <w:lvlJc w:val="left"/>
      <w:pPr>
        <w:ind w:left="1440" w:hanging="360"/>
      </w:pPr>
    </w:lvl>
    <w:lvl w:ilvl="2" w:tplc="76C6E7C0" w:tentative="1">
      <w:start w:val="1"/>
      <w:numFmt w:val="lowerRoman"/>
      <w:lvlText w:val="%3."/>
      <w:lvlJc w:val="right"/>
      <w:pPr>
        <w:ind w:left="2160" w:hanging="180"/>
      </w:pPr>
    </w:lvl>
    <w:lvl w:ilvl="3" w:tplc="765AFE12" w:tentative="1">
      <w:start w:val="1"/>
      <w:numFmt w:val="decimal"/>
      <w:lvlText w:val="%4."/>
      <w:lvlJc w:val="left"/>
      <w:pPr>
        <w:ind w:left="2880" w:hanging="360"/>
      </w:pPr>
    </w:lvl>
    <w:lvl w:ilvl="4" w:tplc="B0EAB86E" w:tentative="1">
      <w:start w:val="1"/>
      <w:numFmt w:val="lowerLetter"/>
      <w:lvlText w:val="%5."/>
      <w:lvlJc w:val="left"/>
      <w:pPr>
        <w:ind w:left="3600" w:hanging="360"/>
      </w:pPr>
    </w:lvl>
    <w:lvl w:ilvl="5" w:tplc="CBD43F0E" w:tentative="1">
      <w:start w:val="1"/>
      <w:numFmt w:val="lowerRoman"/>
      <w:lvlText w:val="%6."/>
      <w:lvlJc w:val="right"/>
      <w:pPr>
        <w:ind w:left="4320" w:hanging="180"/>
      </w:pPr>
    </w:lvl>
    <w:lvl w:ilvl="6" w:tplc="70FE62D2" w:tentative="1">
      <w:start w:val="1"/>
      <w:numFmt w:val="decimal"/>
      <w:lvlText w:val="%7."/>
      <w:lvlJc w:val="left"/>
      <w:pPr>
        <w:ind w:left="5040" w:hanging="360"/>
      </w:pPr>
    </w:lvl>
    <w:lvl w:ilvl="7" w:tplc="A9F6E218" w:tentative="1">
      <w:start w:val="1"/>
      <w:numFmt w:val="lowerLetter"/>
      <w:lvlText w:val="%8."/>
      <w:lvlJc w:val="left"/>
      <w:pPr>
        <w:ind w:left="5760" w:hanging="360"/>
      </w:pPr>
    </w:lvl>
    <w:lvl w:ilvl="8" w:tplc="54B2B1E6" w:tentative="1">
      <w:start w:val="1"/>
      <w:numFmt w:val="lowerRoman"/>
      <w:lvlText w:val="%9."/>
      <w:lvlJc w:val="right"/>
      <w:pPr>
        <w:ind w:left="6480" w:hanging="180"/>
      </w:pPr>
    </w:lvl>
  </w:abstractNum>
  <w:abstractNum w:abstractNumId="27" w15:restartNumberingAfterBreak="0">
    <w:nsid w:val="76735E62"/>
    <w:multiLevelType w:val="hybridMultilevel"/>
    <w:tmpl w:val="44C47844"/>
    <w:lvl w:ilvl="0" w:tplc="58786C3A">
      <w:start w:val="1"/>
      <w:numFmt w:val="lowerLetter"/>
      <w:lvlText w:val="%1."/>
      <w:lvlJc w:val="left"/>
      <w:pPr>
        <w:ind w:left="1440" w:hanging="360"/>
      </w:pPr>
    </w:lvl>
    <w:lvl w:ilvl="1" w:tplc="8B98B112" w:tentative="1">
      <w:start w:val="1"/>
      <w:numFmt w:val="lowerLetter"/>
      <w:lvlText w:val="%2."/>
      <w:lvlJc w:val="left"/>
      <w:pPr>
        <w:ind w:left="2160" w:hanging="360"/>
      </w:pPr>
    </w:lvl>
    <w:lvl w:ilvl="2" w:tplc="A0DEE9CA" w:tentative="1">
      <w:start w:val="1"/>
      <w:numFmt w:val="lowerRoman"/>
      <w:lvlText w:val="%3."/>
      <w:lvlJc w:val="right"/>
      <w:pPr>
        <w:ind w:left="2880" w:hanging="180"/>
      </w:pPr>
    </w:lvl>
    <w:lvl w:ilvl="3" w:tplc="676033CE" w:tentative="1">
      <w:start w:val="1"/>
      <w:numFmt w:val="decimal"/>
      <w:lvlText w:val="%4."/>
      <w:lvlJc w:val="left"/>
      <w:pPr>
        <w:ind w:left="3600" w:hanging="360"/>
      </w:pPr>
    </w:lvl>
    <w:lvl w:ilvl="4" w:tplc="E730BC26" w:tentative="1">
      <w:start w:val="1"/>
      <w:numFmt w:val="lowerLetter"/>
      <w:lvlText w:val="%5."/>
      <w:lvlJc w:val="left"/>
      <w:pPr>
        <w:ind w:left="4320" w:hanging="360"/>
      </w:pPr>
    </w:lvl>
    <w:lvl w:ilvl="5" w:tplc="86620702" w:tentative="1">
      <w:start w:val="1"/>
      <w:numFmt w:val="lowerRoman"/>
      <w:lvlText w:val="%6."/>
      <w:lvlJc w:val="right"/>
      <w:pPr>
        <w:ind w:left="5040" w:hanging="180"/>
      </w:pPr>
    </w:lvl>
    <w:lvl w:ilvl="6" w:tplc="55AAD66E" w:tentative="1">
      <w:start w:val="1"/>
      <w:numFmt w:val="decimal"/>
      <w:lvlText w:val="%7."/>
      <w:lvlJc w:val="left"/>
      <w:pPr>
        <w:ind w:left="5760" w:hanging="360"/>
      </w:pPr>
    </w:lvl>
    <w:lvl w:ilvl="7" w:tplc="E4BA6656" w:tentative="1">
      <w:start w:val="1"/>
      <w:numFmt w:val="lowerLetter"/>
      <w:lvlText w:val="%8."/>
      <w:lvlJc w:val="left"/>
      <w:pPr>
        <w:ind w:left="6480" w:hanging="360"/>
      </w:pPr>
    </w:lvl>
    <w:lvl w:ilvl="8" w:tplc="88D26046" w:tentative="1">
      <w:start w:val="1"/>
      <w:numFmt w:val="lowerRoman"/>
      <w:lvlText w:val="%9."/>
      <w:lvlJc w:val="right"/>
      <w:pPr>
        <w:ind w:left="7200" w:hanging="180"/>
      </w:pPr>
    </w:lvl>
  </w:abstractNum>
  <w:abstractNum w:abstractNumId="28" w15:restartNumberingAfterBreak="0">
    <w:nsid w:val="7D24303C"/>
    <w:multiLevelType w:val="hybridMultilevel"/>
    <w:tmpl w:val="FFFFFFFF"/>
    <w:lvl w:ilvl="0" w:tplc="0CBCD6A0">
      <w:start w:val="1"/>
      <w:numFmt w:val="decimal"/>
      <w:lvlText w:val="%1."/>
      <w:lvlJc w:val="left"/>
      <w:pPr>
        <w:ind w:left="720" w:hanging="360"/>
      </w:pPr>
    </w:lvl>
    <w:lvl w:ilvl="1" w:tplc="3F7855CE">
      <w:start w:val="1"/>
      <w:numFmt w:val="lowerLetter"/>
      <w:lvlText w:val="%2."/>
      <w:lvlJc w:val="left"/>
      <w:pPr>
        <w:ind w:left="1440" w:hanging="360"/>
      </w:pPr>
    </w:lvl>
    <w:lvl w:ilvl="2" w:tplc="446E84E8">
      <w:start w:val="1"/>
      <w:numFmt w:val="lowerRoman"/>
      <w:lvlText w:val="%3."/>
      <w:lvlJc w:val="right"/>
      <w:pPr>
        <w:ind w:left="2160" w:hanging="180"/>
      </w:pPr>
    </w:lvl>
    <w:lvl w:ilvl="3" w:tplc="5F14E640">
      <w:start w:val="1"/>
      <w:numFmt w:val="decimal"/>
      <w:lvlText w:val="%4."/>
      <w:lvlJc w:val="left"/>
      <w:pPr>
        <w:ind w:left="2880" w:hanging="360"/>
      </w:pPr>
    </w:lvl>
    <w:lvl w:ilvl="4" w:tplc="CC5EA59E">
      <w:start w:val="1"/>
      <w:numFmt w:val="lowerLetter"/>
      <w:lvlText w:val="%5."/>
      <w:lvlJc w:val="left"/>
      <w:pPr>
        <w:ind w:left="3600" w:hanging="360"/>
      </w:pPr>
    </w:lvl>
    <w:lvl w:ilvl="5" w:tplc="29A0624C">
      <w:start w:val="1"/>
      <w:numFmt w:val="lowerRoman"/>
      <w:lvlText w:val="%6."/>
      <w:lvlJc w:val="right"/>
      <w:pPr>
        <w:ind w:left="4320" w:hanging="180"/>
      </w:pPr>
    </w:lvl>
    <w:lvl w:ilvl="6" w:tplc="84F634D4">
      <w:start w:val="1"/>
      <w:numFmt w:val="decimal"/>
      <w:lvlText w:val="%7."/>
      <w:lvlJc w:val="left"/>
      <w:pPr>
        <w:ind w:left="5040" w:hanging="360"/>
      </w:pPr>
    </w:lvl>
    <w:lvl w:ilvl="7" w:tplc="0E624256">
      <w:start w:val="1"/>
      <w:numFmt w:val="lowerLetter"/>
      <w:lvlText w:val="%8."/>
      <w:lvlJc w:val="left"/>
      <w:pPr>
        <w:ind w:left="5760" w:hanging="360"/>
      </w:pPr>
    </w:lvl>
    <w:lvl w:ilvl="8" w:tplc="56A437A6">
      <w:start w:val="1"/>
      <w:numFmt w:val="lowerRoman"/>
      <w:lvlText w:val="%9."/>
      <w:lvlJc w:val="right"/>
      <w:pPr>
        <w:ind w:left="6480" w:hanging="180"/>
      </w:pPr>
    </w:lvl>
  </w:abstractNum>
  <w:abstractNum w:abstractNumId="29" w15:restartNumberingAfterBreak="0">
    <w:nsid w:val="7DC07419"/>
    <w:multiLevelType w:val="hybridMultilevel"/>
    <w:tmpl w:val="F0CEB7DE"/>
    <w:lvl w:ilvl="0" w:tplc="437EA754">
      <w:start w:val="1"/>
      <w:numFmt w:val="upperLetter"/>
      <w:lvlText w:val="%1."/>
      <w:lvlJc w:val="left"/>
      <w:pPr>
        <w:ind w:left="720" w:hanging="720"/>
      </w:pPr>
      <w:rPr>
        <w:rFonts w:hint="default"/>
        <w:b/>
        <w:bCs/>
      </w:rPr>
    </w:lvl>
    <w:lvl w:ilvl="1" w:tplc="C8BC69FA">
      <w:start w:val="1"/>
      <w:numFmt w:val="lowerLetter"/>
      <w:lvlText w:val="%2."/>
      <w:lvlJc w:val="left"/>
      <w:pPr>
        <w:ind w:left="1080" w:hanging="360"/>
      </w:pPr>
      <w:rPr>
        <w:b/>
        <w:bCs/>
      </w:rPr>
    </w:lvl>
    <w:lvl w:ilvl="2" w:tplc="FE4AE29C" w:tentative="1">
      <w:start w:val="1"/>
      <w:numFmt w:val="lowerRoman"/>
      <w:lvlText w:val="%3."/>
      <w:lvlJc w:val="right"/>
      <w:pPr>
        <w:ind w:left="1800" w:hanging="180"/>
      </w:pPr>
    </w:lvl>
    <w:lvl w:ilvl="3" w:tplc="387ECD24" w:tentative="1">
      <w:start w:val="1"/>
      <w:numFmt w:val="decimal"/>
      <w:lvlText w:val="%4."/>
      <w:lvlJc w:val="left"/>
      <w:pPr>
        <w:ind w:left="2520" w:hanging="360"/>
      </w:pPr>
    </w:lvl>
    <w:lvl w:ilvl="4" w:tplc="62C47556" w:tentative="1">
      <w:start w:val="1"/>
      <w:numFmt w:val="lowerLetter"/>
      <w:lvlText w:val="%5."/>
      <w:lvlJc w:val="left"/>
      <w:pPr>
        <w:ind w:left="3240" w:hanging="360"/>
      </w:pPr>
    </w:lvl>
    <w:lvl w:ilvl="5" w:tplc="DD824956" w:tentative="1">
      <w:start w:val="1"/>
      <w:numFmt w:val="lowerRoman"/>
      <w:lvlText w:val="%6."/>
      <w:lvlJc w:val="right"/>
      <w:pPr>
        <w:ind w:left="3960" w:hanging="180"/>
      </w:pPr>
    </w:lvl>
    <w:lvl w:ilvl="6" w:tplc="DDEA11F2" w:tentative="1">
      <w:start w:val="1"/>
      <w:numFmt w:val="decimal"/>
      <w:lvlText w:val="%7."/>
      <w:lvlJc w:val="left"/>
      <w:pPr>
        <w:ind w:left="4680" w:hanging="360"/>
      </w:pPr>
    </w:lvl>
    <w:lvl w:ilvl="7" w:tplc="BB960F8E" w:tentative="1">
      <w:start w:val="1"/>
      <w:numFmt w:val="lowerLetter"/>
      <w:lvlText w:val="%8."/>
      <w:lvlJc w:val="left"/>
      <w:pPr>
        <w:ind w:left="5400" w:hanging="360"/>
      </w:pPr>
    </w:lvl>
    <w:lvl w:ilvl="8" w:tplc="4120D39C" w:tentative="1">
      <w:start w:val="1"/>
      <w:numFmt w:val="lowerRoman"/>
      <w:lvlText w:val="%9."/>
      <w:lvlJc w:val="right"/>
      <w:pPr>
        <w:ind w:left="6120" w:hanging="180"/>
      </w:pPr>
    </w:lvl>
  </w:abstractNum>
  <w:num w:numId="1" w16cid:durableId="782843602">
    <w:abstractNumId w:val="26"/>
  </w:num>
  <w:num w:numId="2" w16cid:durableId="417411894">
    <w:abstractNumId w:val="9"/>
  </w:num>
  <w:num w:numId="3" w16cid:durableId="1513226807">
    <w:abstractNumId w:val="17"/>
  </w:num>
  <w:num w:numId="4" w16cid:durableId="328867206">
    <w:abstractNumId w:val="13"/>
  </w:num>
  <w:num w:numId="5" w16cid:durableId="1864005798">
    <w:abstractNumId w:val="10"/>
  </w:num>
  <w:num w:numId="6" w16cid:durableId="1132094195">
    <w:abstractNumId w:val="16"/>
  </w:num>
  <w:num w:numId="7" w16cid:durableId="63843374">
    <w:abstractNumId w:val="15"/>
  </w:num>
  <w:num w:numId="8" w16cid:durableId="2000300920">
    <w:abstractNumId w:val="0"/>
  </w:num>
  <w:num w:numId="9" w16cid:durableId="2049255842">
    <w:abstractNumId w:val="29"/>
  </w:num>
  <w:num w:numId="10" w16cid:durableId="1553230156">
    <w:abstractNumId w:val="6"/>
  </w:num>
  <w:num w:numId="11" w16cid:durableId="628321844">
    <w:abstractNumId w:val="22"/>
  </w:num>
  <w:num w:numId="12" w16cid:durableId="1571817009">
    <w:abstractNumId w:val="22"/>
    <w:lvlOverride w:ilvl="0">
      <w:startOverride w:val="1"/>
    </w:lvlOverride>
  </w:num>
  <w:num w:numId="13" w16cid:durableId="25524159">
    <w:abstractNumId w:val="22"/>
    <w:lvlOverride w:ilvl="0">
      <w:startOverride w:val="1"/>
    </w:lvlOverride>
  </w:num>
  <w:num w:numId="14" w16cid:durableId="1413088473">
    <w:abstractNumId w:val="22"/>
    <w:lvlOverride w:ilvl="0">
      <w:startOverride w:val="1"/>
    </w:lvlOverride>
  </w:num>
  <w:num w:numId="15" w16cid:durableId="1782994912">
    <w:abstractNumId w:val="22"/>
    <w:lvlOverride w:ilvl="0">
      <w:startOverride w:val="1"/>
    </w:lvlOverride>
  </w:num>
  <w:num w:numId="16" w16cid:durableId="1877036907">
    <w:abstractNumId w:val="22"/>
    <w:lvlOverride w:ilvl="0">
      <w:startOverride w:val="1"/>
    </w:lvlOverride>
  </w:num>
  <w:num w:numId="17" w16cid:durableId="81026870">
    <w:abstractNumId w:val="22"/>
    <w:lvlOverride w:ilvl="0">
      <w:startOverride w:val="1"/>
    </w:lvlOverride>
  </w:num>
  <w:num w:numId="18" w16cid:durableId="483737115">
    <w:abstractNumId w:val="22"/>
    <w:lvlOverride w:ilvl="0">
      <w:startOverride w:val="1"/>
    </w:lvlOverride>
  </w:num>
  <w:num w:numId="19" w16cid:durableId="1548565635">
    <w:abstractNumId w:val="22"/>
    <w:lvlOverride w:ilvl="0">
      <w:startOverride w:val="1"/>
    </w:lvlOverride>
  </w:num>
  <w:num w:numId="20" w16cid:durableId="136193411">
    <w:abstractNumId w:val="22"/>
    <w:lvlOverride w:ilvl="0">
      <w:startOverride w:val="1"/>
    </w:lvlOverride>
  </w:num>
  <w:num w:numId="21" w16cid:durableId="1631978666">
    <w:abstractNumId w:val="22"/>
    <w:lvlOverride w:ilvl="0">
      <w:startOverride w:val="1"/>
    </w:lvlOverride>
  </w:num>
  <w:num w:numId="22" w16cid:durableId="1930893680">
    <w:abstractNumId w:val="22"/>
    <w:lvlOverride w:ilvl="0">
      <w:startOverride w:val="1"/>
    </w:lvlOverride>
  </w:num>
  <w:num w:numId="23" w16cid:durableId="611402668">
    <w:abstractNumId w:val="22"/>
    <w:lvlOverride w:ilvl="0">
      <w:startOverride w:val="1"/>
    </w:lvlOverride>
  </w:num>
  <w:num w:numId="24" w16cid:durableId="1754550616">
    <w:abstractNumId w:val="22"/>
    <w:lvlOverride w:ilvl="0">
      <w:startOverride w:val="1"/>
    </w:lvlOverride>
  </w:num>
  <w:num w:numId="25" w16cid:durableId="539588672">
    <w:abstractNumId w:val="22"/>
    <w:lvlOverride w:ilvl="0">
      <w:startOverride w:val="1"/>
    </w:lvlOverride>
  </w:num>
  <w:num w:numId="26" w16cid:durableId="1465585098">
    <w:abstractNumId w:val="22"/>
    <w:lvlOverride w:ilvl="0">
      <w:startOverride w:val="1"/>
    </w:lvlOverride>
  </w:num>
  <w:num w:numId="27" w16cid:durableId="400641847">
    <w:abstractNumId w:val="22"/>
    <w:lvlOverride w:ilvl="0">
      <w:startOverride w:val="1"/>
    </w:lvlOverride>
  </w:num>
  <w:num w:numId="28" w16cid:durableId="1953515585">
    <w:abstractNumId w:val="22"/>
    <w:lvlOverride w:ilvl="0">
      <w:startOverride w:val="1"/>
    </w:lvlOverride>
  </w:num>
  <w:num w:numId="29" w16cid:durableId="1598053125">
    <w:abstractNumId w:val="22"/>
    <w:lvlOverride w:ilvl="0">
      <w:startOverride w:val="1"/>
    </w:lvlOverride>
  </w:num>
  <w:num w:numId="30" w16cid:durableId="1876578511">
    <w:abstractNumId w:val="22"/>
    <w:lvlOverride w:ilvl="0">
      <w:startOverride w:val="1"/>
    </w:lvlOverride>
  </w:num>
  <w:num w:numId="31" w16cid:durableId="1014697237">
    <w:abstractNumId w:val="22"/>
    <w:lvlOverride w:ilvl="0">
      <w:startOverride w:val="1"/>
    </w:lvlOverride>
  </w:num>
  <w:num w:numId="32" w16cid:durableId="526799102">
    <w:abstractNumId w:val="22"/>
    <w:lvlOverride w:ilvl="0">
      <w:startOverride w:val="1"/>
    </w:lvlOverride>
  </w:num>
  <w:num w:numId="33" w16cid:durableId="1248269929">
    <w:abstractNumId w:val="22"/>
    <w:lvlOverride w:ilvl="0">
      <w:startOverride w:val="1"/>
    </w:lvlOverride>
  </w:num>
  <w:num w:numId="34" w16cid:durableId="478421217">
    <w:abstractNumId w:val="22"/>
    <w:lvlOverride w:ilvl="0">
      <w:startOverride w:val="1"/>
    </w:lvlOverride>
  </w:num>
  <w:num w:numId="35" w16cid:durableId="524097708">
    <w:abstractNumId w:val="22"/>
    <w:lvlOverride w:ilvl="0">
      <w:startOverride w:val="1"/>
    </w:lvlOverride>
  </w:num>
  <w:num w:numId="36" w16cid:durableId="72817900">
    <w:abstractNumId w:val="22"/>
    <w:lvlOverride w:ilvl="0">
      <w:startOverride w:val="1"/>
    </w:lvlOverride>
  </w:num>
  <w:num w:numId="37" w16cid:durableId="1047533396">
    <w:abstractNumId w:val="22"/>
    <w:lvlOverride w:ilvl="0">
      <w:startOverride w:val="1"/>
    </w:lvlOverride>
  </w:num>
  <w:num w:numId="38" w16cid:durableId="1453015270">
    <w:abstractNumId w:val="23"/>
  </w:num>
  <w:num w:numId="39" w16cid:durableId="2140759472">
    <w:abstractNumId w:val="11"/>
  </w:num>
  <w:num w:numId="40" w16cid:durableId="10461815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3971992">
    <w:abstractNumId w:val="22"/>
    <w:lvlOverride w:ilvl="0">
      <w:startOverride w:val="1"/>
    </w:lvlOverride>
  </w:num>
  <w:num w:numId="42" w16cid:durableId="1603030921">
    <w:abstractNumId w:val="22"/>
    <w:lvlOverride w:ilvl="0">
      <w:startOverride w:val="1"/>
    </w:lvlOverride>
  </w:num>
  <w:num w:numId="43" w16cid:durableId="25593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1503955">
    <w:abstractNumId w:val="27"/>
  </w:num>
  <w:num w:numId="45" w16cid:durableId="271016877">
    <w:abstractNumId w:val="5"/>
  </w:num>
  <w:num w:numId="46" w16cid:durableId="610891947">
    <w:abstractNumId w:val="24"/>
  </w:num>
  <w:num w:numId="47" w16cid:durableId="391390854">
    <w:abstractNumId w:val="28"/>
  </w:num>
  <w:num w:numId="48" w16cid:durableId="1674263626">
    <w:abstractNumId w:val="8"/>
  </w:num>
  <w:num w:numId="49" w16cid:durableId="241526348">
    <w:abstractNumId w:val="18"/>
  </w:num>
  <w:num w:numId="50" w16cid:durableId="1203664351">
    <w:abstractNumId w:val="4"/>
  </w:num>
  <w:num w:numId="51" w16cid:durableId="1915697347">
    <w:abstractNumId w:val="25"/>
  </w:num>
  <w:num w:numId="52" w16cid:durableId="1885675371">
    <w:abstractNumId w:val="7"/>
  </w:num>
  <w:num w:numId="53" w16cid:durableId="1896041749">
    <w:abstractNumId w:val="19"/>
  </w:num>
  <w:num w:numId="54" w16cid:durableId="1366709838">
    <w:abstractNumId w:val="20"/>
  </w:num>
  <w:num w:numId="55" w16cid:durableId="1020618639">
    <w:abstractNumId w:val="14"/>
  </w:num>
  <w:num w:numId="56" w16cid:durableId="476915363">
    <w:abstractNumId w:val="3"/>
  </w:num>
  <w:num w:numId="57" w16cid:durableId="1177159832">
    <w:abstractNumId w:val="12"/>
  </w:num>
  <w:num w:numId="58" w16cid:durableId="1730110606">
    <w:abstractNumId w:val="2"/>
  </w:num>
  <w:num w:numId="59" w16cid:durableId="1937250247">
    <w:abstractNumId w:val="1"/>
  </w:num>
  <w:num w:numId="60" w16cid:durableId="1581987685">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035"/>
    <w:rsid w:val="00000234"/>
    <w:rsid w:val="00000ACF"/>
    <w:rsid w:val="0000478A"/>
    <w:rsid w:val="00004991"/>
    <w:rsid w:val="00006C0B"/>
    <w:rsid w:val="00007A57"/>
    <w:rsid w:val="0001193A"/>
    <w:rsid w:val="00013DBC"/>
    <w:rsid w:val="000144E4"/>
    <w:rsid w:val="000206B1"/>
    <w:rsid w:val="00020991"/>
    <w:rsid w:val="00022607"/>
    <w:rsid w:val="00022D26"/>
    <w:rsid w:val="00023988"/>
    <w:rsid w:val="000249F7"/>
    <w:rsid w:val="000267ED"/>
    <w:rsid w:val="00030623"/>
    <w:rsid w:val="000312D8"/>
    <w:rsid w:val="000315A2"/>
    <w:rsid w:val="00031A8B"/>
    <w:rsid w:val="00031EEF"/>
    <w:rsid w:val="00032D2E"/>
    <w:rsid w:val="00034D00"/>
    <w:rsid w:val="00035A8E"/>
    <w:rsid w:val="0003718C"/>
    <w:rsid w:val="000418EF"/>
    <w:rsid w:val="000436AC"/>
    <w:rsid w:val="00044638"/>
    <w:rsid w:val="00046119"/>
    <w:rsid w:val="0004642D"/>
    <w:rsid w:val="00051248"/>
    <w:rsid w:val="00053627"/>
    <w:rsid w:val="00055381"/>
    <w:rsid w:val="00055AD3"/>
    <w:rsid w:val="000605E3"/>
    <w:rsid w:val="000631A9"/>
    <w:rsid w:val="00063268"/>
    <w:rsid w:val="000649FD"/>
    <w:rsid w:val="00065C46"/>
    <w:rsid w:val="00072BD6"/>
    <w:rsid w:val="00073BB6"/>
    <w:rsid w:val="00080631"/>
    <w:rsid w:val="000808CE"/>
    <w:rsid w:val="00085512"/>
    <w:rsid w:val="00087B93"/>
    <w:rsid w:val="000926F1"/>
    <w:rsid w:val="00092EAF"/>
    <w:rsid w:val="00093685"/>
    <w:rsid w:val="00093AF8"/>
    <w:rsid w:val="000A1B58"/>
    <w:rsid w:val="000A59F4"/>
    <w:rsid w:val="000B1204"/>
    <w:rsid w:val="000B27DF"/>
    <w:rsid w:val="000B5889"/>
    <w:rsid w:val="000C0972"/>
    <w:rsid w:val="000C2508"/>
    <w:rsid w:val="000C29B6"/>
    <w:rsid w:val="000C5307"/>
    <w:rsid w:val="000C5D83"/>
    <w:rsid w:val="000C5E48"/>
    <w:rsid w:val="000C6829"/>
    <w:rsid w:val="000D1F18"/>
    <w:rsid w:val="000D3C57"/>
    <w:rsid w:val="000D3F47"/>
    <w:rsid w:val="000D46F0"/>
    <w:rsid w:val="000D54FD"/>
    <w:rsid w:val="000D643C"/>
    <w:rsid w:val="000E4D77"/>
    <w:rsid w:val="000F00BD"/>
    <w:rsid w:val="000F10A1"/>
    <w:rsid w:val="000F2647"/>
    <w:rsid w:val="000F5F6E"/>
    <w:rsid w:val="000F7845"/>
    <w:rsid w:val="00100224"/>
    <w:rsid w:val="00101021"/>
    <w:rsid w:val="00101210"/>
    <w:rsid w:val="00101DA3"/>
    <w:rsid w:val="00104BA6"/>
    <w:rsid w:val="00104DDB"/>
    <w:rsid w:val="0011199C"/>
    <w:rsid w:val="00111B90"/>
    <w:rsid w:val="00115840"/>
    <w:rsid w:val="0012061D"/>
    <w:rsid w:val="00121D9B"/>
    <w:rsid w:val="00121E07"/>
    <w:rsid w:val="00122182"/>
    <w:rsid w:val="00122E35"/>
    <w:rsid w:val="00122EE6"/>
    <w:rsid w:val="00132EB8"/>
    <w:rsid w:val="001358C8"/>
    <w:rsid w:val="001366BF"/>
    <w:rsid w:val="0014088B"/>
    <w:rsid w:val="00140E5A"/>
    <w:rsid w:val="00143140"/>
    <w:rsid w:val="001431A9"/>
    <w:rsid w:val="001444C6"/>
    <w:rsid w:val="0014725E"/>
    <w:rsid w:val="001479CD"/>
    <w:rsid w:val="001531D6"/>
    <w:rsid w:val="00154AC8"/>
    <w:rsid w:val="00160EFE"/>
    <w:rsid w:val="00164D53"/>
    <w:rsid w:val="00170772"/>
    <w:rsid w:val="00172973"/>
    <w:rsid w:val="00173525"/>
    <w:rsid w:val="00175D03"/>
    <w:rsid w:val="00176311"/>
    <w:rsid w:val="00176F8E"/>
    <w:rsid w:val="00177619"/>
    <w:rsid w:val="001815ED"/>
    <w:rsid w:val="00184AFE"/>
    <w:rsid w:val="00186165"/>
    <w:rsid w:val="00187C44"/>
    <w:rsid w:val="001908B8"/>
    <w:rsid w:val="00191221"/>
    <w:rsid w:val="0019172C"/>
    <w:rsid w:val="00191D29"/>
    <w:rsid w:val="001922EF"/>
    <w:rsid w:val="00192662"/>
    <w:rsid w:val="00196CC9"/>
    <w:rsid w:val="001A0564"/>
    <w:rsid w:val="001A0CD3"/>
    <w:rsid w:val="001A35AF"/>
    <w:rsid w:val="001A3E23"/>
    <w:rsid w:val="001A63D9"/>
    <w:rsid w:val="001A6CD8"/>
    <w:rsid w:val="001B061E"/>
    <w:rsid w:val="001B653C"/>
    <w:rsid w:val="001B6642"/>
    <w:rsid w:val="001B76F1"/>
    <w:rsid w:val="001C0702"/>
    <w:rsid w:val="001C1110"/>
    <w:rsid w:val="001C26BA"/>
    <w:rsid w:val="001C375E"/>
    <w:rsid w:val="001C376A"/>
    <w:rsid w:val="001D1A53"/>
    <w:rsid w:val="001D1BAA"/>
    <w:rsid w:val="001D2D23"/>
    <w:rsid w:val="001D3EC9"/>
    <w:rsid w:val="001D6221"/>
    <w:rsid w:val="001E324D"/>
    <w:rsid w:val="001E5CBF"/>
    <w:rsid w:val="001E707B"/>
    <w:rsid w:val="001F15D6"/>
    <w:rsid w:val="001F430F"/>
    <w:rsid w:val="001F4A8F"/>
    <w:rsid w:val="001F5D00"/>
    <w:rsid w:val="001F6C14"/>
    <w:rsid w:val="001F7699"/>
    <w:rsid w:val="001FA96F"/>
    <w:rsid w:val="00200ACF"/>
    <w:rsid w:val="00205DD8"/>
    <w:rsid w:val="002104D2"/>
    <w:rsid w:val="002108AA"/>
    <w:rsid w:val="00213661"/>
    <w:rsid w:val="0021372E"/>
    <w:rsid w:val="00213B12"/>
    <w:rsid w:val="00216224"/>
    <w:rsid w:val="0021682B"/>
    <w:rsid w:val="00216F70"/>
    <w:rsid w:val="0022035A"/>
    <w:rsid w:val="00220E44"/>
    <w:rsid w:val="00221902"/>
    <w:rsid w:val="00222545"/>
    <w:rsid w:val="002228FF"/>
    <w:rsid w:val="0022638E"/>
    <w:rsid w:val="00227E40"/>
    <w:rsid w:val="002328DD"/>
    <w:rsid w:val="00233151"/>
    <w:rsid w:val="00233432"/>
    <w:rsid w:val="00234F7E"/>
    <w:rsid w:val="00242D59"/>
    <w:rsid w:val="002434BC"/>
    <w:rsid w:val="00245B8A"/>
    <w:rsid w:val="00246C28"/>
    <w:rsid w:val="0025080D"/>
    <w:rsid w:val="00250A76"/>
    <w:rsid w:val="00256782"/>
    <w:rsid w:val="00260062"/>
    <w:rsid w:val="00262431"/>
    <w:rsid w:val="00262DFF"/>
    <w:rsid w:val="00267D21"/>
    <w:rsid w:val="00271BA5"/>
    <w:rsid w:val="00275C86"/>
    <w:rsid w:val="00280CF3"/>
    <w:rsid w:val="00282D22"/>
    <w:rsid w:val="00285634"/>
    <w:rsid w:val="00285C56"/>
    <w:rsid w:val="002865E4"/>
    <w:rsid w:val="00286EA8"/>
    <w:rsid w:val="00287E84"/>
    <w:rsid w:val="002921EF"/>
    <w:rsid w:val="00293064"/>
    <w:rsid w:val="002A11BB"/>
    <w:rsid w:val="002A2127"/>
    <w:rsid w:val="002A27D0"/>
    <w:rsid w:val="002A59FB"/>
    <w:rsid w:val="002B0005"/>
    <w:rsid w:val="002B13D3"/>
    <w:rsid w:val="002B2C61"/>
    <w:rsid w:val="002B34D9"/>
    <w:rsid w:val="002B3E3C"/>
    <w:rsid w:val="002B52B6"/>
    <w:rsid w:val="002B5762"/>
    <w:rsid w:val="002B794F"/>
    <w:rsid w:val="002C0F38"/>
    <w:rsid w:val="002C16B0"/>
    <w:rsid w:val="002C18EC"/>
    <w:rsid w:val="002C5DC7"/>
    <w:rsid w:val="002C64D5"/>
    <w:rsid w:val="002D204A"/>
    <w:rsid w:val="002D43D2"/>
    <w:rsid w:val="002D53A2"/>
    <w:rsid w:val="002D59D1"/>
    <w:rsid w:val="002D7D63"/>
    <w:rsid w:val="002E5C92"/>
    <w:rsid w:val="002E7C42"/>
    <w:rsid w:val="002F2EDB"/>
    <w:rsid w:val="00307B05"/>
    <w:rsid w:val="003116B3"/>
    <w:rsid w:val="00311703"/>
    <w:rsid w:val="00313A75"/>
    <w:rsid w:val="00313C0D"/>
    <w:rsid w:val="00314660"/>
    <w:rsid w:val="00314A6E"/>
    <w:rsid w:val="00315CF1"/>
    <w:rsid w:val="00317A27"/>
    <w:rsid w:val="003225F7"/>
    <w:rsid w:val="00324813"/>
    <w:rsid w:val="00325071"/>
    <w:rsid w:val="00326140"/>
    <w:rsid w:val="00330CDB"/>
    <w:rsid w:val="0033105B"/>
    <w:rsid w:val="0033119C"/>
    <w:rsid w:val="003320E3"/>
    <w:rsid w:val="00332970"/>
    <w:rsid w:val="00332C38"/>
    <w:rsid w:val="00333BF5"/>
    <w:rsid w:val="003350DD"/>
    <w:rsid w:val="003358B4"/>
    <w:rsid w:val="00336725"/>
    <w:rsid w:val="00342B98"/>
    <w:rsid w:val="00345180"/>
    <w:rsid w:val="003470A4"/>
    <w:rsid w:val="0035012E"/>
    <w:rsid w:val="003505DB"/>
    <w:rsid w:val="00350A63"/>
    <w:rsid w:val="00352DD0"/>
    <w:rsid w:val="003532C5"/>
    <w:rsid w:val="003561DF"/>
    <w:rsid w:val="003567F4"/>
    <w:rsid w:val="00357D63"/>
    <w:rsid w:val="00360288"/>
    <w:rsid w:val="00360676"/>
    <w:rsid w:val="00360A7A"/>
    <w:rsid w:val="00360FAE"/>
    <w:rsid w:val="0036108E"/>
    <w:rsid w:val="0036129D"/>
    <w:rsid w:val="00361D84"/>
    <w:rsid w:val="00365580"/>
    <w:rsid w:val="00380E02"/>
    <w:rsid w:val="003833C9"/>
    <w:rsid w:val="003904D3"/>
    <w:rsid w:val="0039143B"/>
    <w:rsid w:val="003930B6"/>
    <w:rsid w:val="0039589B"/>
    <w:rsid w:val="003978F1"/>
    <w:rsid w:val="003A03F8"/>
    <w:rsid w:val="003A1DB3"/>
    <w:rsid w:val="003A32EE"/>
    <w:rsid w:val="003A34E9"/>
    <w:rsid w:val="003A35ED"/>
    <w:rsid w:val="003A38D7"/>
    <w:rsid w:val="003A6268"/>
    <w:rsid w:val="003A7051"/>
    <w:rsid w:val="003B155B"/>
    <w:rsid w:val="003C35E5"/>
    <w:rsid w:val="003C4E2B"/>
    <w:rsid w:val="003C63E6"/>
    <w:rsid w:val="003C725F"/>
    <w:rsid w:val="003D03F4"/>
    <w:rsid w:val="003D083A"/>
    <w:rsid w:val="003D0B0A"/>
    <w:rsid w:val="003D2219"/>
    <w:rsid w:val="003D27D1"/>
    <w:rsid w:val="003D5ED7"/>
    <w:rsid w:val="003D6A47"/>
    <w:rsid w:val="003E25F0"/>
    <w:rsid w:val="003E3322"/>
    <w:rsid w:val="003E337D"/>
    <w:rsid w:val="003E3AE9"/>
    <w:rsid w:val="003E485E"/>
    <w:rsid w:val="003E68E6"/>
    <w:rsid w:val="003F6139"/>
    <w:rsid w:val="003F6B82"/>
    <w:rsid w:val="003F7DB6"/>
    <w:rsid w:val="00410653"/>
    <w:rsid w:val="00410902"/>
    <w:rsid w:val="0041112A"/>
    <w:rsid w:val="0041538F"/>
    <w:rsid w:val="004167FE"/>
    <w:rsid w:val="004177D7"/>
    <w:rsid w:val="00417A3E"/>
    <w:rsid w:val="00417B48"/>
    <w:rsid w:val="00422B98"/>
    <w:rsid w:val="004249D4"/>
    <w:rsid w:val="00430B8E"/>
    <w:rsid w:val="004346E2"/>
    <w:rsid w:val="00435A8B"/>
    <w:rsid w:val="004365CA"/>
    <w:rsid w:val="0043687C"/>
    <w:rsid w:val="00436AAF"/>
    <w:rsid w:val="00444790"/>
    <w:rsid w:val="004448CB"/>
    <w:rsid w:val="004451C6"/>
    <w:rsid w:val="00452E8D"/>
    <w:rsid w:val="00453A93"/>
    <w:rsid w:val="004555CF"/>
    <w:rsid w:val="00455D26"/>
    <w:rsid w:val="00457002"/>
    <w:rsid w:val="0046015A"/>
    <w:rsid w:val="00462914"/>
    <w:rsid w:val="00463755"/>
    <w:rsid w:val="004654C9"/>
    <w:rsid w:val="00465552"/>
    <w:rsid w:val="00467901"/>
    <w:rsid w:val="00471FAE"/>
    <w:rsid w:val="0047485B"/>
    <w:rsid w:val="00474CD7"/>
    <w:rsid w:val="0048000E"/>
    <w:rsid w:val="00483EF4"/>
    <w:rsid w:val="0048407F"/>
    <w:rsid w:val="00484DC5"/>
    <w:rsid w:val="004867DA"/>
    <w:rsid w:val="00487F60"/>
    <w:rsid w:val="00491F68"/>
    <w:rsid w:val="00495801"/>
    <w:rsid w:val="00497E67"/>
    <w:rsid w:val="004A2328"/>
    <w:rsid w:val="004A442B"/>
    <w:rsid w:val="004B2229"/>
    <w:rsid w:val="004B2273"/>
    <w:rsid w:val="004B55A1"/>
    <w:rsid w:val="004B79CB"/>
    <w:rsid w:val="004C0425"/>
    <w:rsid w:val="004C1124"/>
    <w:rsid w:val="004C1C23"/>
    <w:rsid w:val="004C24C9"/>
    <w:rsid w:val="004C3376"/>
    <w:rsid w:val="004C4D7D"/>
    <w:rsid w:val="004C4DA8"/>
    <w:rsid w:val="004C5E04"/>
    <w:rsid w:val="004C6BE3"/>
    <w:rsid w:val="004D0361"/>
    <w:rsid w:val="004D1DCF"/>
    <w:rsid w:val="004D4DD7"/>
    <w:rsid w:val="004D57C7"/>
    <w:rsid w:val="004D5DE9"/>
    <w:rsid w:val="004E2334"/>
    <w:rsid w:val="004E25A3"/>
    <w:rsid w:val="004E54AE"/>
    <w:rsid w:val="004E560E"/>
    <w:rsid w:val="004E6C43"/>
    <w:rsid w:val="004E6FE6"/>
    <w:rsid w:val="004F1F2B"/>
    <w:rsid w:val="004F1F44"/>
    <w:rsid w:val="004F5180"/>
    <w:rsid w:val="004F6440"/>
    <w:rsid w:val="0050267B"/>
    <w:rsid w:val="00504DB3"/>
    <w:rsid w:val="005051CB"/>
    <w:rsid w:val="0051104E"/>
    <w:rsid w:val="00511303"/>
    <w:rsid w:val="00511B4D"/>
    <w:rsid w:val="00511BFA"/>
    <w:rsid w:val="00521DBC"/>
    <w:rsid w:val="00522559"/>
    <w:rsid w:val="00522722"/>
    <w:rsid w:val="00526521"/>
    <w:rsid w:val="00526B49"/>
    <w:rsid w:val="00527DE2"/>
    <w:rsid w:val="00531B87"/>
    <w:rsid w:val="0053319B"/>
    <w:rsid w:val="00533B95"/>
    <w:rsid w:val="00542744"/>
    <w:rsid w:val="00542DEF"/>
    <w:rsid w:val="00543960"/>
    <w:rsid w:val="00543FE8"/>
    <w:rsid w:val="00545179"/>
    <w:rsid w:val="0055075B"/>
    <w:rsid w:val="005541C9"/>
    <w:rsid w:val="00555EA9"/>
    <w:rsid w:val="00556764"/>
    <w:rsid w:val="00560C3C"/>
    <w:rsid w:val="00561E83"/>
    <w:rsid w:val="00566C47"/>
    <w:rsid w:val="005674FB"/>
    <w:rsid w:val="00570276"/>
    <w:rsid w:val="00570BF2"/>
    <w:rsid w:val="00573ECB"/>
    <w:rsid w:val="00573EE4"/>
    <w:rsid w:val="00575BE7"/>
    <w:rsid w:val="005762CC"/>
    <w:rsid w:val="005805E8"/>
    <w:rsid w:val="00580E69"/>
    <w:rsid w:val="00581AEA"/>
    <w:rsid w:val="00581D82"/>
    <w:rsid w:val="0058207C"/>
    <w:rsid w:val="00582AF0"/>
    <w:rsid w:val="00585773"/>
    <w:rsid w:val="0058585A"/>
    <w:rsid w:val="0059052E"/>
    <w:rsid w:val="00590539"/>
    <w:rsid w:val="00592CC1"/>
    <w:rsid w:val="00593447"/>
    <w:rsid w:val="00594A4B"/>
    <w:rsid w:val="00597B43"/>
    <w:rsid w:val="005A2B91"/>
    <w:rsid w:val="005A2E61"/>
    <w:rsid w:val="005A42E2"/>
    <w:rsid w:val="005A4E43"/>
    <w:rsid w:val="005A7901"/>
    <w:rsid w:val="005B296C"/>
    <w:rsid w:val="005B52C2"/>
    <w:rsid w:val="005B6821"/>
    <w:rsid w:val="005C03D8"/>
    <w:rsid w:val="005C151F"/>
    <w:rsid w:val="005C5C8A"/>
    <w:rsid w:val="005C62EB"/>
    <w:rsid w:val="005C6D7B"/>
    <w:rsid w:val="005D0673"/>
    <w:rsid w:val="005D1162"/>
    <w:rsid w:val="005D4BDF"/>
    <w:rsid w:val="005D6E06"/>
    <w:rsid w:val="005E0E32"/>
    <w:rsid w:val="005E27D7"/>
    <w:rsid w:val="005E57C4"/>
    <w:rsid w:val="005E5D29"/>
    <w:rsid w:val="005E6127"/>
    <w:rsid w:val="005E6D84"/>
    <w:rsid w:val="005E6F6F"/>
    <w:rsid w:val="005F001D"/>
    <w:rsid w:val="005F2B23"/>
    <w:rsid w:val="005F3367"/>
    <w:rsid w:val="005F3597"/>
    <w:rsid w:val="005F4551"/>
    <w:rsid w:val="005F4D2A"/>
    <w:rsid w:val="005F5E17"/>
    <w:rsid w:val="005F6533"/>
    <w:rsid w:val="005F7241"/>
    <w:rsid w:val="005F74AC"/>
    <w:rsid w:val="00601AEB"/>
    <w:rsid w:val="006025DD"/>
    <w:rsid w:val="006043A1"/>
    <w:rsid w:val="00607298"/>
    <w:rsid w:val="00607603"/>
    <w:rsid w:val="00610D43"/>
    <w:rsid w:val="00611754"/>
    <w:rsid w:val="00614B3F"/>
    <w:rsid w:val="00614F1D"/>
    <w:rsid w:val="00615868"/>
    <w:rsid w:val="006171D8"/>
    <w:rsid w:val="00617E9C"/>
    <w:rsid w:val="00620FA4"/>
    <w:rsid w:val="006226D5"/>
    <w:rsid w:val="0062316F"/>
    <w:rsid w:val="00624E2C"/>
    <w:rsid w:val="00625C84"/>
    <w:rsid w:val="006268B3"/>
    <w:rsid w:val="00630F1F"/>
    <w:rsid w:val="006347B1"/>
    <w:rsid w:val="006349BE"/>
    <w:rsid w:val="00634DF5"/>
    <w:rsid w:val="00635596"/>
    <w:rsid w:val="00636D32"/>
    <w:rsid w:val="006374AA"/>
    <w:rsid w:val="00637530"/>
    <w:rsid w:val="00640B8E"/>
    <w:rsid w:val="00641C5D"/>
    <w:rsid w:val="00642158"/>
    <w:rsid w:val="00642242"/>
    <w:rsid w:val="00645132"/>
    <w:rsid w:val="006478F8"/>
    <w:rsid w:val="00652856"/>
    <w:rsid w:val="00653D1E"/>
    <w:rsid w:val="006547BE"/>
    <w:rsid w:val="006550F9"/>
    <w:rsid w:val="00655293"/>
    <w:rsid w:val="006558EB"/>
    <w:rsid w:val="00656288"/>
    <w:rsid w:val="006572FA"/>
    <w:rsid w:val="00660356"/>
    <w:rsid w:val="00664244"/>
    <w:rsid w:val="0066787C"/>
    <w:rsid w:val="00670E53"/>
    <w:rsid w:val="00673943"/>
    <w:rsid w:val="0067454F"/>
    <w:rsid w:val="00674A13"/>
    <w:rsid w:val="00675794"/>
    <w:rsid w:val="00684379"/>
    <w:rsid w:val="00685858"/>
    <w:rsid w:val="00686B91"/>
    <w:rsid w:val="00686C52"/>
    <w:rsid w:val="00691E46"/>
    <w:rsid w:val="006929CD"/>
    <w:rsid w:val="006947FE"/>
    <w:rsid w:val="00694BC3"/>
    <w:rsid w:val="0069620B"/>
    <w:rsid w:val="00697028"/>
    <w:rsid w:val="006A252F"/>
    <w:rsid w:val="006A38BE"/>
    <w:rsid w:val="006A4339"/>
    <w:rsid w:val="006A48C1"/>
    <w:rsid w:val="006A6E64"/>
    <w:rsid w:val="006B04DA"/>
    <w:rsid w:val="006B199E"/>
    <w:rsid w:val="006B3140"/>
    <w:rsid w:val="006B4179"/>
    <w:rsid w:val="006B43F3"/>
    <w:rsid w:val="006B5D25"/>
    <w:rsid w:val="006B5DB6"/>
    <w:rsid w:val="006B603D"/>
    <w:rsid w:val="006B6283"/>
    <w:rsid w:val="006B7A74"/>
    <w:rsid w:val="006C0E53"/>
    <w:rsid w:val="006C1666"/>
    <w:rsid w:val="006C7462"/>
    <w:rsid w:val="006C7BF1"/>
    <w:rsid w:val="006D2046"/>
    <w:rsid w:val="006D22DC"/>
    <w:rsid w:val="006D71FE"/>
    <w:rsid w:val="006D7FFC"/>
    <w:rsid w:val="006E186E"/>
    <w:rsid w:val="006E18C1"/>
    <w:rsid w:val="006E1D61"/>
    <w:rsid w:val="006E25B0"/>
    <w:rsid w:val="006E44CC"/>
    <w:rsid w:val="006E757C"/>
    <w:rsid w:val="006E7ABF"/>
    <w:rsid w:val="006F0CA9"/>
    <w:rsid w:val="006F1016"/>
    <w:rsid w:val="006F3873"/>
    <w:rsid w:val="006F534F"/>
    <w:rsid w:val="006F7A1E"/>
    <w:rsid w:val="00702998"/>
    <w:rsid w:val="007032F4"/>
    <w:rsid w:val="00703860"/>
    <w:rsid w:val="00704AAD"/>
    <w:rsid w:val="00706DEE"/>
    <w:rsid w:val="007071FC"/>
    <w:rsid w:val="00707515"/>
    <w:rsid w:val="0070789A"/>
    <w:rsid w:val="00717026"/>
    <w:rsid w:val="007174AB"/>
    <w:rsid w:val="00720478"/>
    <w:rsid w:val="007244BC"/>
    <w:rsid w:val="00724886"/>
    <w:rsid w:val="00727E00"/>
    <w:rsid w:val="0073263A"/>
    <w:rsid w:val="00733CC8"/>
    <w:rsid w:val="00734037"/>
    <w:rsid w:val="007341D1"/>
    <w:rsid w:val="00734E1D"/>
    <w:rsid w:val="00734F36"/>
    <w:rsid w:val="00735AFC"/>
    <w:rsid w:val="007367E0"/>
    <w:rsid w:val="00742510"/>
    <w:rsid w:val="0074490E"/>
    <w:rsid w:val="00744BF4"/>
    <w:rsid w:val="007469F3"/>
    <w:rsid w:val="00750628"/>
    <w:rsid w:val="00751AB2"/>
    <w:rsid w:val="0075210F"/>
    <w:rsid w:val="007528CD"/>
    <w:rsid w:val="0075557B"/>
    <w:rsid w:val="00757009"/>
    <w:rsid w:val="007573B8"/>
    <w:rsid w:val="00761AD9"/>
    <w:rsid w:val="00761D68"/>
    <w:rsid w:val="007629FD"/>
    <w:rsid w:val="007665E1"/>
    <w:rsid w:val="007666B8"/>
    <w:rsid w:val="00766F5D"/>
    <w:rsid w:val="00770555"/>
    <w:rsid w:val="00771DF7"/>
    <w:rsid w:val="007722E2"/>
    <w:rsid w:val="0077240B"/>
    <w:rsid w:val="00772F41"/>
    <w:rsid w:val="007760F2"/>
    <w:rsid w:val="00776C43"/>
    <w:rsid w:val="00781977"/>
    <w:rsid w:val="007821C9"/>
    <w:rsid w:val="007871CD"/>
    <w:rsid w:val="00787B05"/>
    <w:rsid w:val="00787F3B"/>
    <w:rsid w:val="00792BA6"/>
    <w:rsid w:val="00795388"/>
    <w:rsid w:val="00796AF1"/>
    <w:rsid w:val="007A37E9"/>
    <w:rsid w:val="007A5971"/>
    <w:rsid w:val="007B0004"/>
    <w:rsid w:val="007B0CBB"/>
    <w:rsid w:val="007B30F4"/>
    <w:rsid w:val="007C06D1"/>
    <w:rsid w:val="007C215B"/>
    <w:rsid w:val="007C24E6"/>
    <w:rsid w:val="007C3B8D"/>
    <w:rsid w:val="007D191D"/>
    <w:rsid w:val="007D5F67"/>
    <w:rsid w:val="007D606B"/>
    <w:rsid w:val="007D745D"/>
    <w:rsid w:val="007D7FC4"/>
    <w:rsid w:val="007E11A5"/>
    <w:rsid w:val="007E11D1"/>
    <w:rsid w:val="007E19D1"/>
    <w:rsid w:val="007E3131"/>
    <w:rsid w:val="007E60FE"/>
    <w:rsid w:val="007F03C4"/>
    <w:rsid w:val="007F1DB2"/>
    <w:rsid w:val="007F3A28"/>
    <w:rsid w:val="007F46F0"/>
    <w:rsid w:val="007F5558"/>
    <w:rsid w:val="007F572D"/>
    <w:rsid w:val="007F657B"/>
    <w:rsid w:val="008006C2"/>
    <w:rsid w:val="0080649B"/>
    <w:rsid w:val="0081753E"/>
    <w:rsid w:val="00823D88"/>
    <w:rsid w:val="00824C9C"/>
    <w:rsid w:val="00824D45"/>
    <w:rsid w:val="0082601C"/>
    <w:rsid w:val="00827B95"/>
    <w:rsid w:val="00837548"/>
    <w:rsid w:val="008407B8"/>
    <w:rsid w:val="00843CB3"/>
    <w:rsid w:val="00846DE7"/>
    <w:rsid w:val="00851357"/>
    <w:rsid w:val="008552B3"/>
    <w:rsid w:val="00861709"/>
    <w:rsid w:val="00864DF7"/>
    <w:rsid w:val="00865035"/>
    <w:rsid w:val="00865E88"/>
    <w:rsid w:val="00871997"/>
    <w:rsid w:val="008723C4"/>
    <w:rsid w:val="008745B8"/>
    <w:rsid w:val="00875977"/>
    <w:rsid w:val="00876E2D"/>
    <w:rsid w:val="00877FBD"/>
    <w:rsid w:val="00880297"/>
    <w:rsid w:val="00881A8C"/>
    <w:rsid w:val="00881D67"/>
    <w:rsid w:val="008831F4"/>
    <w:rsid w:val="0089072E"/>
    <w:rsid w:val="0089093D"/>
    <w:rsid w:val="008924E9"/>
    <w:rsid w:val="0089277B"/>
    <w:rsid w:val="00892991"/>
    <w:rsid w:val="00892FCA"/>
    <w:rsid w:val="00894A1A"/>
    <w:rsid w:val="0089576F"/>
    <w:rsid w:val="008964BB"/>
    <w:rsid w:val="00896930"/>
    <w:rsid w:val="008A1D5F"/>
    <w:rsid w:val="008A361D"/>
    <w:rsid w:val="008A4394"/>
    <w:rsid w:val="008A4491"/>
    <w:rsid w:val="008A5331"/>
    <w:rsid w:val="008A5BF9"/>
    <w:rsid w:val="008B0E13"/>
    <w:rsid w:val="008B218E"/>
    <w:rsid w:val="008B3291"/>
    <w:rsid w:val="008B3805"/>
    <w:rsid w:val="008B6AF3"/>
    <w:rsid w:val="008C6D3D"/>
    <w:rsid w:val="008D0ADF"/>
    <w:rsid w:val="008D2667"/>
    <w:rsid w:val="008D2FF6"/>
    <w:rsid w:val="008D4E5F"/>
    <w:rsid w:val="008D67CB"/>
    <w:rsid w:val="008E12EC"/>
    <w:rsid w:val="008E22D3"/>
    <w:rsid w:val="008E5C2D"/>
    <w:rsid w:val="008E710F"/>
    <w:rsid w:val="008F0E5C"/>
    <w:rsid w:val="008F3ADE"/>
    <w:rsid w:val="008F600C"/>
    <w:rsid w:val="008F63ED"/>
    <w:rsid w:val="008F6FEE"/>
    <w:rsid w:val="0090363A"/>
    <w:rsid w:val="00904816"/>
    <w:rsid w:val="00907E6D"/>
    <w:rsid w:val="00910636"/>
    <w:rsid w:val="00913C1B"/>
    <w:rsid w:val="0092222F"/>
    <w:rsid w:val="0092304D"/>
    <w:rsid w:val="00924798"/>
    <w:rsid w:val="009303BB"/>
    <w:rsid w:val="009318D7"/>
    <w:rsid w:val="009338CE"/>
    <w:rsid w:val="00936ADC"/>
    <w:rsid w:val="00936E6D"/>
    <w:rsid w:val="0094078E"/>
    <w:rsid w:val="009434A9"/>
    <w:rsid w:val="00945475"/>
    <w:rsid w:val="009472FE"/>
    <w:rsid w:val="0095017A"/>
    <w:rsid w:val="009515C1"/>
    <w:rsid w:val="00952682"/>
    <w:rsid w:val="00953606"/>
    <w:rsid w:val="00957431"/>
    <w:rsid w:val="00960867"/>
    <w:rsid w:val="009721AA"/>
    <w:rsid w:val="00974AA3"/>
    <w:rsid w:val="009760FB"/>
    <w:rsid w:val="00976DD4"/>
    <w:rsid w:val="00977175"/>
    <w:rsid w:val="00986DE4"/>
    <w:rsid w:val="00987689"/>
    <w:rsid w:val="009907E0"/>
    <w:rsid w:val="009907FB"/>
    <w:rsid w:val="0099094F"/>
    <w:rsid w:val="00997EC5"/>
    <w:rsid w:val="009A1426"/>
    <w:rsid w:val="009A32CB"/>
    <w:rsid w:val="009A4601"/>
    <w:rsid w:val="009A55DD"/>
    <w:rsid w:val="009A60EE"/>
    <w:rsid w:val="009B06AE"/>
    <w:rsid w:val="009B3B78"/>
    <w:rsid w:val="009B4770"/>
    <w:rsid w:val="009B6CA1"/>
    <w:rsid w:val="009B6F5B"/>
    <w:rsid w:val="009B713B"/>
    <w:rsid w:val="009B788C"/>
    <w:rsid w:val="009C0D0E"/>
    <w:rsid w:val="009C1857"/>
    <w:rsid w:val="009C2713"/>
    <w:rsid w:val="009C422B"/>
    <w:rsid w:val="009C4E2C"/>
    <w:rsid w:val="009C65F6"/>
    <w:rsid w:val="009D0ADD"/>
    <w:rsid w:val="009D1FAE"/>
    <w:rsid w:val="009D4618"/>
    <w:rsid w:val="009D608B"/>
    <w:rsid w:val="009D63B0"/>
    <w:rsid w:val="009D6C13"/>
    <w:rsid w:val="009D7205"/>
    <w:rsid w:val="009D7DA7"/>
    <w:rsid w:val="009E1469"/>
    <w:rsid w:val="009F1D0D"/>
    <w:rsid w:val="009F432F"/>
    <w:rsid w:val="009F43B7"/>
    <w:rsid w:val="009F536A"/>
    <w:rsid w:val="009F59B3"/>
    <w:rsid w:val="00A0422C"/>
    <w:rsid w:val="00A062E4"/>
    <w:rsid w:val="00A07447"/>
    <w:rsid w:val="00A07E7A"/>
    <w:rsid w:val="00A12125"/>
    <w:rsid w:val="00A15A2B"/>
    <w:rsid w:val="00A16705"/>
    <w:rsid w:val="00A20046"/>
    <w:rsid w:val="00A22807"/>
    <w:rsid w:val="00A27CAA"/>
    <w:rsid w:val="00A3647B"/>
    <w:rsid w:val="00A365CF"/>
    <w:rsid w:val="00A4189D"/>
    <w:rsid w:val="00A41ABC"/>
    <w:rsid w:val="00A42742"/>
    <w:rsid w:val="00A42CED"/>
    <w:rsid w:val="00A45151"/>
    <w:rsid w:val="00A4547D"/>
    <w:rsid w:val="00A50E43"/>
    <w:rsid w:val="00A5293A"/>
    <w:rsid w:val="00A534E1"/>
    <w:rsid w:val="00A55AC4"/>
    <w:rsid w:val="00A5644E"/>
    <w:rsid w:val="00A56BDA"/>
    <w:rsid w:val="00A60597"/>
    <w:rsid w:val="00A62F2F"/>
    <w:rsid w:val="00A67EFD"/>
    <w:rsid w:val="00A721F6"/>
    <w:rsid w:val="00A72F66"/>
    <w:rsid w:val="00A7325E"/>
    <w:rsid w:val="00A733D9"/>
    <w:rsid w:val="00A7735D"/>
    <w:rsid w:val="00A77EC2"/>
    <w:rsid w:val="00A80D0C"/>
    <w:rsid w:val="00A826A0"/>
    <w:rsid w:val="00A8738A"/>
    <w:rsid w:val="00A9016A"/>
    <w:rsid w:val="00A92B70"/>
    <w:rsid w:val="00A934D4"/>
    <w:rsid w:val="00A93978"/>
    <w:rsid w:val="00A9637B"/>
    <w:rsid w:val="00A968E9"/>
    <w:rsid w:val="00AA3C1F"/>
    <w:rsid w:val="00AA50D1"/>
    <w:rsid w:val="00AA5CFF"/>
    <w:rsid w:val="00AA7119"/>
    <w:rsid w:val="00AB07E3"/>
    <w:rsid w:val="00AB1312"/>
    <w:rsid w:val="00AB24B8"/>
    <w:rsid w:val="00AB38B2"/>
    <w:rsid w:val="00AB46BA"/>
    <w:rsid w:val="00AB476D"/>
    <w:rsid w:val="00AB4C5F"/>
    <w:rsid w:val="00AB6EDC"/>
    <w:rsid w:val="00AC1844"/>
    <w:rsid w:val="00AC1908"/>
    <w:rsid w:val="00AC2057"/>
    <w:rsid w:val="00AC3020"/>
    <w:rsid w:val="00AC41B7"/>
    <w:rsid w:val="00AC4341"/>
    <w:rsid w:val="00AC570D"/>
    <w:rsid w:val="00AD17B5"/>
    <w:rsid w:val="00AD22CF"/>
    <w:rsid w:val="00AD2738"/>
    <w:rsid w:val="00AD6606"/>
    <w:rsid w:val="00AE1E49"/>
    <w:rsid w:val="00AE2E63"/>
    <w:rsid w:val="00AF23E3"/>
    <w:rsid w:val="00AF5B8A"/>
    <w:rsid w:val="00B01062"/>
    <w:rsid w:val="00B016E2"/>
    <w:rsid w:val="00B031B1"/>
    <w:rsid w:val="00B04296"/>
    <w:rsid w:val="00B04D11"/>
    <w:rsid w:val="00B10380"/>
    <w:rsid w:val="00B12DA0"/>
    <w:rsid w:val="00B13E8A"/>
    <w:rsid w:val="00B150AE"/>
    <w:rsid w:val="00B1680D"/>
    <w:rsid w:val="00B16DA1"/>
    <w:rsid w:val="00B20223"/>
    <w:rsid w:val="00B22034"/>
    <w:rsid w:val="00B240CD"/>
    <w:rsid w:val="00B24588"/>
    <w:rsid w:val="00B2551C"/>
    <w:rsid w:val="00B26150"/>
    <w:rsid w:val="00B324A6"/>
    <w:rsid w:val="00B32A01"/>
    <w:rsid w:val="00B34344"/>
    <w:rsid w:val="00B3448D"/>
    <w:rsid w:val="00B365CD"/>
    <w:rsid w:val="00B365F7"/>
    <w:rsid w:val="00B36941"/>
    <w:rsid w:val="00B43C2E"/>
    <w:rsid w:val="00B47D14"/>
    <w:rsid w:val="00B5003E"/>
    <w:rsid w:val="00B53B72"/>
    <w:rsid w:val="00B5473E"/>
    <w:rsid w:val="00B54EF9"/>
    <w:rsid w:val="00B55864"/>
    <w:rsid w:val="00B60CCB"/>
    <w:rsid w:val="00B61B8A"/>
    <w:rsid w:val="00B62854"/>
    <w:rsid w:val="00B635A8"/>
    <w:rsid w:val="00B709BF"/>
    <w:rsid w:val="00B70BA2"/>
    <w:rsid w:val="00B715F0"/>
    <w:rsid w:val="00B80AEE"/>
    <w:rsid w:val="00B8320A"/>
    <w:rsid w:val="00B8471E"/>
    <w:rsid w:val="00B872DB"/>
    <w:rsid w:val="00B9796B"/>
    <w:rsid w:val="00BA0C40"/>
    <w:rsid w:val="00BA22E0"/>
    <w:rsid w:val="00BA4F7F"/>
    <w:rsid w:val="00BA710C"/>
    <w:rsid w:val="00BB37CA"/>
    <w:rsid w:val="00BB40ED"/>
    <w:rsid w:val="00BB4F1D"/>
    <w:rsid w:val="00BB76B0"/>
    <w:rsid w:val="00BC0A22"/>
    <w:rsid w:val="00BC0E52"/>
    <w:rsid w:val="00BC2886"/>
    <w:rsid w:val="00BD3858"/>
    <w:rsid w:val="00BD6AF2"/>
    <w:rsid w:val="00BD6BE6"/>
    <w:rsid w:val="00BE1145"/>
    <w:rsid w:val="00BE3F6D"/>
    <w:rsid w:val="00BE5CFB"/>
    <w:rsid w:val="00BE665E"/>
    <w:rsid w:val="00BE7489"/>
    <w:rsid w:val="00BE7E36"/>
    <w:rsid w:val="00BF15F8"/>
    <w:rsid w:val="00BF18CD"/>
    <w:rsid w:val="00BF56B0"/>
    <w:rsid w:val="00BF5CAC"/>
    <w:rsid w:val="00BF6546"/>
    <w:rsid w:val="00C0481C"/>
    <w:rsid w:val="00C07E25"/>
    <w:rsid w:val="00C07F5C"/>
    <w:rsid w:val="00C11276"/>
    <w:rsid w:val="00C127A5"/>
    <w:rsid w:val="00C1584B"/>
    <w:rsid w:val="00C17931"/>
    <w:rsid w:val="00C17B16"/>
    <w:rsid w:val="00C22063"/>
    <w:rsid w:val="00C230CD"/>
    <w:rsid w:val="00C254D7"/>
    <w:rsid w:val="00C25845"/>
    <w:rsid w:val="00C261D0"/>
    <w:rsid w:val="00C31E4A"/>
    <w:rsid w:val="00C330BF"/>
    <w:rsid w:val="00C33905"/>
    <w:rsid w:val="00C34515"/>
    <w:rsid w:val="00C34690"/>
    <w:rsid w:val="00C351F9"/>
    <w:rsid w:val="00C357CB"/>
    <w:rsid w:val="00C35F02"/>
    <w:rsid w:val="00C37D7F"/>
    <w:rsid w:val="00C4041B"/>
    <w:rsid w:val="00C40E84"/>
    <w:rsid w:val="00C41A62"/>
    <w:rsid w:val="00C4207E"/>
    <w:rsid w:val="00C444C0"/>
    <w:rsid w:val="00C44759"/>
    <w:rsid w:val="00C556C1"/>
    <w:rsid w:val="00C5588E"/>
    <w:rsid w:val="00C62BB3"/>
    <w:rsid w:val="00C6678F"/>
    <w:rsid w:val="00C66893"/>
    <w:rsid w:val="00C67AD9"/>
    <w:rsid w:val="00C71ED1"/>
    <w:rsid w:val="00C730D4"/>
    <w:rsid w:val="00C744F8"/>
    <w:rsid w:val="00C758AE"/>
    <w:rsid w:val="00C76EDA"/>
    <w:rsid w:val="00C82143"/>
    <w:rsid w:val="00C82C86"/>
    <w:rsid w:val="00C8325E"/>
    <w:rsid w:val="00C83DAF"/>
    <w:rsid w:val="00C84DBC"/>
    <w:rsid w:val="00C9184C"/>
    <w:rsid w:val="00C92520"/>
    <w:rsid w:val="00C93555"/>
    <w:rsid w:val="00C97FA9"/>
    <w:rsid w:val="00CA14E0"/>
    <w:rsid w:val="00CA1924"/>
    <w:rsid w:val="00CA2C75"/>
    <w:rsid w:val="00CA4A7A"/>
    <w:rsid w:val="00CA53C7"/>
    <w:rsid w:val="00CB1F5A"/>
    <w:rsid w:val="00CB1F81"/>
    <w:rsid w:val="00CB2CEB"/>
    <w:rsid w:val="00CB5B42"/>
    <w:rsid w:val="00CB5F82"/>
    <w:rsid w:val="00CB653C"/>
    <w:rsid w:val="00CB775E"/>
    <w:rsid w:val="00CC59B6"/>
    <w:rsid w:val="00CD0D57"/>
    <w:rsid w:val="00CD2C89"/>
    <w:rsid w:val="00CD3F96"/>
    <w:rsid w:val="00CD4017"/>
    <w:rsid w:val="00CE0619"/>
    <w:rsid w:val="00CE38C2"/>
    <w:rsid w:val="00CE3B2C"/>
    <w:rsid w:val="00CE3BE2"/>
    <w:rsid w:val="00CE6F32"/>
    <w:rsid w:val="00CE70D5"/>
    <w:rsid w:val="00CF0347"/>
    <w:rsid w:val="00CF07A0"/>
    <w:rsid w:val="00CF2015"/>
    <w:rsid w:val="00CF379E"/>
    <w:rsid w:val="00CF5361"/>
    <w:rsid w:val="00CF573B"/>
    <w:rsid w:val="00CF73B6"/>
    <w:rsid w:val="00CF7736"/>
    <w:rsid w:val="00D001FD"/>
    <w:rsid w:val="00D0424B"/>
    <w:rsid w:val="00D04640"/>
    <w:rsid w:val="00D07AC1"/>
    <w:rsid w:val="00D07AEC"/>
    <w:rsid w:val="00D12717"/>
    <w:rsid w:val="00D12EE6"/>
    <w:rsid w:val="00D12F6E"/>
    <w:rsid w:val="00D13220"/>
    <w:rsid w:val="00D14B80"/>
    <w:rsid w:val="00D14DC7"/>
    <w:rsid w:val="00D15696"/>
    <w:rsid w:val="00D168E0"/>
    <w:rsid w:val="00D175E6"/>
    <w:rsid w:val="00D20DB8"/>
    <w:rsid w:val="00D241C7"/>
    <w:rsid w:val="00D42F3A"/>
    <w:rsid w:val="00D45E86"/>
    <w:rsid w:val="00D47B67"/>
    <w:rsid w:val="00D50381"/>
    <w:rsid w:val="00D50D66"/>
    <w:rsid w:val="00D54867"/>
    <w:rsid w:val="00D551F7"/>
    <w:rsid w:val="00D55C66"/>
    <w:rsid w:val="00D56431"/>
    <w:rsid w:val="00D5678F"/>
    <w:rsid w:val="00D60431"/>
    <w:rsid w:val="00D60852"/>
    <w:rsid w:val="00D60D89"/>
    <w:rsid w:val="00D724C3"/>
    <w:rsid w:val="00D72BEF"/>
    <w:rsid w:val="00D73890"/>
    <w:rsid w:val="00D74431"/>
    <w:rsid w:val="00D81D7E"/>
    <w:rsid w:val="00D83528"/>
    <w:rsid w:val="00D84B48"/>
    <w:rsid w:val="00D850B0"/>
    <w:rsid w:val="00D87CB5"/>
    <w:rsid w:val="00D918AB"/>
    <w:rsid w:val="00D91C8B"/>
    <w:rsid w:val="00D96361"/>
    <w:rsid w:val="00D96B11"/>
    <w:rsid w:val="00D97378"/>
    <w:rsid w:val="00DA09BC"/>
    <w:rsid w:val="00DA321A"/>
    <w:rsid w:val="00DA44E1"/>
    <w:rsid w:val="00DA47D5"/>
    <w:rsid w:val="00DA5682"/>
    <w:rsid w:val="00DA6E5D"/>
    <w:rsid w:val="00DB33ED"/>
    <w:rsid w:val="00DB41B3"/>
    <w:rsid w:val="00DB6D85"/>
    <w:rsid w:val="00DB7F67"/>
    <w:rsid w:val="00DC1C21"/>
    <w:rsid w:val="00DC37D6"/>
    <w:rsid w:val="00DC453D"/>
    <w:rsid w:val="00DD275B"/>
    <w:rsid w:val="00DE0449"/>
    <w:rsid w:val="00DE0F46"/>
    <w:rsid w:val="00DE13FF"/>
    <w:rsid w:val="00DE20EF"/>
    <w:rsid w:val="00DE5A3A"/>
    <w:rsid w:val="00DE787F"/>
    <w:rsid w:val="00DF0125"/>
    <w:rsid w:val="00DF185B"/>
    <w:rsid w:val="00DF2207"/>
    <w:rsid w:val="00DF3AE5"/>
    <w:rsid w:val="00DF3FAB"/>
    <w:rsid w:val="00DF637F"/>
    <w:rsid w:val="00DF78A5"/>
    <w:rsid w:val="00E01F54"/>
    <w:rsid w:val="00E0273B"/>
    <w:rsid w:val="00E061DC"/>
    <w:rsid w:val="00E068FA"/>
    <w:rsid w:val="00E07692"/>
    <w:rsid w:val="00E077BE"/>
    <w:rsid w:val="00E10EBF"/>
    <w:rsid w:val="00E144D2"/>
    <w:rsid w:val="00E14B9F"/>
    <w:rsid w:val="00E177F7"/>
    <w:rsid w:val="00E20364"/>
    <w:rsid w:val="00E21AA4"/>
    <w:rsid w:val="00E32E3C"/>
    <w:rsid w:val="00E33AC4"/>
    <w:rsid w:val="00E34799"/>
    <w:rsid w:val="00E34913"/>
    <w:rsid w:val="00E40EE0"/>
    <w:rsid w:val="00E414F7"/>
    <w:rsid w:val="00E42467"/>
    <w:rsid w:val="00E45D37"/>
    <w:rsid w:val="00E45EF2"/>
    <w:rsid w:val="00E45F47"/>
    <w:rsid w:val="00E5140A"/>
    <w:rsid w:val="00E52CFB"/>
    <w:rsid w:val="00E54C60"/>
    <w:rsid w:val="00E56C95"/>
    <w:rsid w:val="00E6003A"/>
    <w:rsid w:val="00E65BE3"/>
    <w:rsid w:val="00E65DD3"/>
    <w:rsid w:val="00E66A2E"/>
    <w:rsid w:val="00E712E7"/>
    <w:rsid w:val="00E7229C"/>
    <w:rsid w:val="00E76955"/>
    <w:rsid w:val="00E773B8"/>
    <w:rsid w:val="00E81605"/>
    <w:rsid w:val="00E86BA8"/>
    <w:rsid w:val="00E86BC8"/>
    <w:rsid w:val="00E87697"/>
    <w:rsid w:val="00E902A6"/>
    <w:rsid w:val="00E932FB"/>
    <w:rsid w:val="00E9483A"/>
    <w:rsid w:val="00E948BD"/>
    <w:rsid w:val="00E94DDA"/>
    <w:rsid w:val="00EA11DB"/>
    <w:rsid w:val="00EA1BF7"/>
    <w:rsid w:val="00EA255F"/>
    <w:rsid w:val="00EA2CE4"/>
    <w:rsid w:val="00EA49AA"/>
    <w:rsid w:val="00EA56FF"/>
    <w:rsid w:val="00EA645D"/>
    <w:rsid w:val="00EA6850"/>
    <w:rsid w:val="00EB09BC"/>
    <w:rsid w:val="00EB12DF"/>
    <w:rsid w:val="00EB1F7F"/>
    <w:rsid w:val="00EB3050"/>
    <w:rsid w:val="00EB3069"/>
    <w:rsid w:val="00EB4D8C"/>
    <w:rsid w:val="00EB55FB"/>
    <w:rsid w:val="00EB5FCC"/>
    <w:rsid w:val="00EB6913"/>
    <w:rsid w:val="00EC0190"/>
    <w:rsid w:val="00EC0F7F"/>
    <w:rsid w:val="00EC1FDA"/>
    <w:rsid w:val="00EC3508"/>
    <w:rsid w:val="00EC58C4"/>
    <w:rsid w:val="00EC6205"/>
    <w:rsid w:val="00EC6A6C"/>
    <w:rsid w:val="00EC74EF"/>
    <w:rsid w:val="00EC7750"/>
    <w:rsid w:val="00ED069B"/>
    <w:rsid w:val="00ED1D7C"/>
    <w:rsid w:val="00ED5713"/>
    <w:rsid w:val="00ED624F"/>
    <w:rsid w:val="00EE1AE0"/>
    <w:rsid w:val="00EE2FF9"/>
    <w:rsid w:val="00EE422D"/>
    <w:rsid w:val="00EE48CD"/>
    <w:rsid w:val="00EE54CE"/>
    <w:rsid w:val="00EE604E"/>
    <w:rsid w:val="00EE6A98"/>
    <w:rsid w:val="00EE6FA2"/>
    <w:rsid w:val="00EF0190"/>
    <w:rsid w:val="00EF17BA"/>
    <w:rsid w:val="00EF17E4"/>
    <w:rsid w:val="00EF36E6"/>
    <w:rsid w:val="00F007E9"/>
    <w:rsid w:val="00F04479"/>
    <w:rsid w:val="00F044D3"/>
    <w:rsid w:val="00F04E51"/>
    <w:rsid w:val="00F06091"/>
    <w:rsid w:val="00F06A83"/>
    <w:rsid w:val="00F06D3A"/>
    <w:rsid w:val="00F12572"/>
    <w:rsid w:val="00F12FBE"/>
    <w:rsid w:val="00F16E42"/>
    <w:rsid w:val="00F21385"/>
    <w:rsid w:val="00F21A0A"/>
    <w:rsid w:val="00F22855"/>
    <w:rsid w:val="00F25BA6"/>
    <w:rsid w:val="00F27767"/>
    <w:rsid w:val="00F321E8"/>
    <w:rsid w:val="00F35B74"/>
    <w:rsid w:val="00F372DB"/>
    <w:rsid w:val="00F37608"/>
    <w:rsid w:val="00F37CFB"/>
    <w:rsid w:val="00F40759"/>
    <w:rsid w:val="00F4131C"/>
    <w:rsid w:val="00F429EB"/>
    <w:rsid w:val="00F42C2B"/>
    <w:rsid w:val="00F43274"/>
    <w:rsid w:val="00F4527B"/>
    <w:rsid w:val="00F4593A"/>
    <w:rsid w:val="00F476DC"/>
    <w:rsid w:val="00F51018"/>
    <w:rsid w:val="00F52BCC"/>
    <w:rsid w:val="00F5337E"/>
    <w:rsid w:val="00F53750"/>
    <w:rsid w:val="00F63607"/>
    <w:rsid w:val="00F6475B"/>
    <w:rsid w:val="00F70FDF"/>
    <w:rsid w:val="00F71E8B"/>
    <w:rsid w:val="00F751FF"/>
    <w:rsid w:val="00F7632C"/>
    <w:rsid w:val="00F83B71"/>
    <w:rsid w:val="00F91007"/>
    <w:rsid w:val="00F9154B"/>
    <w:rsid w:val="00F91879"/>
    <w:rsid w:val="00F92720"/>
    <w:rsid w:val="00F934A0"/>
    <w:rsid w:val="00F94A13"/>
    <w:rsid w:val="00F95D83"/>
    <w:rsid w:val="00F9679C"/>
    <w:rsid w:val="00FA34DE"/>
    <w:rsid w:val="00FB6C8A"/>
    <w:rsid w:val="00FC05AA"/>
    <w:rsid w:val="00FC0CEA"/>
    <w:rsid w:val="00FC22FE"/>
    <w:rsid w:val="00FC4865"/>
    <w:rsid w:val="00FC62B1"/>
    <w:rsid w:val="00FC709E"/>
    <w:rsid w:val="00FD1ACD"/>
    <w:rsid w:val="00FD4A34"/>
    <w:rsid w:val="00FD511A"/>
    <w:rsid w:val="00FD618B"/>
    <w:rsid w:val="00FD7D0C"/>
    <w:rsid w:val="00FD7D4F"/>
    <w:rsid w:val="00FE1110"/>
    <w:rsid w:val="00FE3F34"/>
    <w:rsid w:val="00FE4F34"/>
    <w:rsid w:val="00FE7C35"/>
    <w:rsid w:val="00FF1F24"/>
    <w:rsid w:val="00FF24B0"/>
    <w:rsid w:val="00FF5A39"/>
    <w:rsid w:val="0143D03C"/>
    <w:rsid w:val="015C7C99"/>
    <w:rsid w:val="018ADCC9"/>
    <w:rsid w:val="02016E32"/>
    <w:rsid w:val="0217389C"/>
    <w:rsid w:val="021D0D56"/>
    <w:rsid w:val="025D7552"/>
    <w:rsid w:val="02800D81"/>
    <w:rsid w:val="0294377A"/>
    <w:rsid w:val="02C4542A"/>
    <w:rsid w:val="02C6768C"/>
    <w:rsid w:val="04E7DF67"/>
    <w:rsid w:val="050182A5"/>
    <w:rsid w:val="06774008"/>
    <w:rsid w:val="06E3796B"/>
    <w:rsid w:val="076C9B57"/>
    <w:rsid w:val="0801D665"/>
    <w:rsid w:val="08673352"/>
    <w:rsid w:val="086A52D6"/>
    <w:rsid w:val="08BF3DCA"/>
    <w:rsid w:val="08D83F85"/>
    <w:rsid w:val="08E34710"/>
    <w:rsid w:val="0914C2CC"/>
    <w:rsid w:val="0A9D02E5"/>
    <w:rsid w:val="0A9E705C"/>
    <w:rsid w:val="0AF1E442"/>
    <w:rsid w:val="0B3B2DF9"/>
    <w:rsid w:val="0B6BDD90"/>
    <w:rsid w:val="0C17CBC5"/>
    <w:rsid w:val="0C2493F7"/>
    <w:rsid w:val="0C705EDE"/>
    <w:rsid w:val="0C9E5245"/>
    <w:rsid w:val="0CF1C1DD"/>
    <w:rsid w:val="0D6C4E6F"/>
    <w:rsid w:val="0D85371F"/>
    <w:rsid w:val="0D8AFEC1"/>
    <w:rsid w:val="0DB4F211"/>
    <w:rsid w:val="0E12808A"/>
    <w:rsid w:val="0E438341"/>
    <w:rsid w:val="0E8BAFA2"/>
    <w:rsid w:val="0EC0D410"/>
    <w:rsid w:val="0EF12B7B"/>
    <w:rsid w:val="0F322F73"/>
    <w:rsid w:val="0F6DC966"/>
    <w:rsid w:val="0FAECB52"/>
    <w:rsid w:val="0FD13BFC"/>
    <w:rsid w:val="0FE2D0BB"/>
    <w:rsid w:val="100C104E"/>
    <w:rsid w:val="102CE0E2"/>
    <w:rsid w:val="1083B989"/>
    <w:rsid w:val="113AFAA8"/>
    <w:rsid w:val="11725BF6"/>
    <w:rsid w:val="12086F5E"/>
    <w:rsid w:val="1212FAA5"/>
    <w:rsid w:val="12157B7C"/>
    <w:rsid w:val="12256B7D"/>
    <w:rsid w:val="1249C445"/>
    <w:rsid w:val="12AD1B0A"/>
    <w:rsid w:val="1311A494"/>
    <w:rsid w:val="1396663E"/>
    <w:rsid w:val="13B296B3"/>
    <w:rsid w:val="13D35BB5"/>
    <w:rsid w:val="13FC045F"/>
    <w:rsid w:val="14565741"/>
    <w:rsid w:val="157E53BF"/>
    <w:rsid w:val="15A1CFF5"/>
    <w:rsid w:val="178AC6E7"/>
    <w:rsid w:val="1790D247"/>
    <w:rsid w:val="17C9EF07"/>
    <w:rsid w:val="17E81738"/>
    <w:rsid w:val="18328FFD"/>
    <w:rsid w:val="18411C78"/>
    <w:rsid w:val="18C61C19"/>
    <w:rsid w:val="18C9D70B"/>
    <w:rsid w:val="19AD727F"/>
    <w:rsid w:val="19B6F770"/>
    <w:rsid w:val="1A2B3D13"/>
    <w:rsid w:val="1ADF3212"/>
    <w:rsid w:val="1AF63867"/>
    <w:rsid w:val="1B460CCD"/>
    <w:rsid w:val="1B798CC3"/>
    <w:rsid w:val="1BA6FB93"/>
    <w:rsid w:val="1BACA989"/>
    <w:rsid w:val="1BEF2DEE"/>
    <w:rsid w:val="1C11ED27"/>
    <w:rsid w:val="1C27B038"/>
    <w:rsid w:val="1C297070"/>
    <w:rsid w:val="1C9C8B14"/>
    <w:rsid w:val="1CEFD5E6"/>
    <w:rsid w:val="1D65667A"/>
    <w:rsid w:val="1D8C92F0"/>
    <w:rsid w:val="1E72DE12"/>
    <w:rsid w:val="1E74BC20"/>
    <w:rsid w:val="1E93945E"/>
    <w:rsid w:val="1EA9D5F6"/>
    <w:rsid w:val="2078A9E5"/>
    <w:rsid w:val="20A812C3"/>
    <w:rsid w:val="20AF39F8"/>
    <w:rsid w:val="2124308F"/>
    <w:rsid w:val="212FBD2B"/>
    <w:rsid w:val="215C1953"/>
    <w:rsid w:val="21A3AB6F"/>
    <w:rsid w:val="21DE2DC2"/>
    <w:rsid w:val="22343F67"/>
    <w:rsid w:val="22696519"/>
    <w:rsid w:val="2286E0EE"/>
    <w:rsid w:val="2325FC38"/>
    <w:rsid w:val="23378027"/>
    <w:rsid w:val="23912519"/>
    <w:rsid w:val="23A53708"/>
    <w:rsid w:val="241655F8"/>
    <w:rsid w:val="2416690D"/>
    <w:rsid w:val="24E64BE7"/>
    <w:rsid w:val="2567A052"/>
    <w:rsid w:val="25C8D449"/>
    <w:rsid w:val="269EAFD5"/>
    <w:rsid w:val="26C18A2E"/>
    <w:rsid w:val="26E88617"/>
    <w:rsid w:val="26F02B42"/>
    <w:rsid w:val="278C55C6"/>
    <w:rsid w:val="27B2A05E"/>
    <w:rsid w:val="2844A81C"/>
    <w:rsid w:val="2869C8AC"/>
    <w:rsid w:val="28BC16A6"/>
    <w:rsid w:val="28BD536D"/>
    <w:rsid w:val="28C84BF4"/>
    <w:rsid w:val="28E257FE"/>
    <w:rsid w:val="292248E4"/>
    <w:rsid w:val="29A886AA"/>
    <w:rsid w:val="29B9D4A5"/>
    <w:rsid w:val="29DDDE88"/>
    <w:rsid w:val="2A08A4F9"/>
    <w:rsid w:val="2A1C4352"/>
    <w:rsid w:val="2A523C10"/>
    <w:rsid w:val="2AC180D9"/>
    <w:rsid w:val="2AD5CC52"/>
    <w:rsid w:val="2ADFC546"/>
    <w:rsid w:val="2B17C869"/>
    <w:rsid w:val="2B5559B0"/>
    <w:rsid w:val="2B808929"/>
    <w:rsid w:val="2BF5536D"/>
    <w:rsid w:val="2C1E45B0"/>
    <w:rsid w:val="2C62E2A1"/>
    <w:rsid w:val="2D136B0A"/>
    <w:rsid w:val="2D2D9ADB"/>
    <w:rsid w:val="2D8CE0DE"/>
    <w:rsid w:val="2E39F999"/>
    <w:rsid w:val="2E6C68F7"/>
    <w:rsid w:val="2E98E08F"/>
    <w:rsid w:val="2E9EA114"/>
    <w:rsid w:val="2EFE1EFA"/>
    <w:rsid w:val="2F52F84D"/>
    <w:rsid w:val="2F64CD39"/>
    <w:rsid w:val="2F8E135F"/>
    <w:rsid w:val="2FB88C03"/>
    <w:rsid w:val="301ABF65"/>
    <w:rsid w:val="30AF78C8"/>
    <w:rsid w:val="30C224D2"/>
    <w:rsid w:val="30F46C7E"/>
    <w:rsid w:val="3165EDF5"/>
    <w:rsid w:val="31784DBF"/>
    <w:rsid w:val="31C652DE"/>
    <w:rsid w:val="31FE8507"/>
    <w:rsid w:val="322FAF22"/>
    <w:rsid w:val="32565D71"/>
    <w:rsid w:val="325CC97F"/>
    <w:rsid w:val="3261184B"/>
    <w:rsid w:val="3265F305"/>
    <w:rsid w:val="329E7FC8"/>
    <w:rsid w:val="32B23340"/>
    <w:rsid w:val="32D3EE2C"/>
    <w:rsid w:val="33074539"/>
    <w:rsid w:val="3317C2E9"/>
    <w:rsid w:val="3357CADA"/>
    <w:rsid w:val="33EE458B"/>
    <w:rsid w:val="34CC1F5C"/>
    <w:rsid w:val="34FB8699"/>
    <w:rsid w:val="35B97781"/>
    <w:rsid w:val="363A2859"/>
    <w:rsid w:val="36C859E6"/>
    <w:rsid w:val="371A19E8"/>
    <w:rsid w:val="376ED2CC"/>
    <w:rsid w:val="3779A71E"/>
    <w:rsid w:val="37D4378C"/>
    <w:rsid w:val="384B1516"/>
    <w:rsid w:val="38844A48"/>
    <w:rsid w:val="38C7A68F"/>
    <w:rsid w:val="38DE49F7"/>
    <w:rsid w:val="38F8325B"/>
    <w:rsid w:val="399FB719"/>
    <w:rsid w:val="39A6D914"/>
    <w:rsid w:val="39EC58C6"/>
    <w:rsid w:val="39FC0672"/>
    <w:rsid w:val="3A3E2A6F"/>
    <w:rsid w:val="3A586B3D"/>
    <w:rsid w:val="3BC62353"/>
    <w:rsid w:val="3BEE44E9"/>
    <w:rsid w:val="3CA447A2"/>
    <w:rsid w:val="3CAEE111"/>
    <w:rsid w:val="3D01A567"/>
    <w:rsid w:val="3D143E5B"/>
    <w:rsid w:val="3D70BB19"/>
    <w:rsid w:val="3D727903"/>
    <w:rsid w:val="3DA05EF2"/>
    <w:rsid w:val="3DC5C8B5"/>
    <w:rsid w:val="3E96B280"/>
    <w:rsid w:val="3FC4A9CC"/>
    <w:rsid w:val="4029F683"/>
    <w:rsid w:val="40312681"/>
    <w:rsid w:val="4075279D"/>
    <w:rsid w:val="4094FE1B"/>
    <w:rsid w:val="40CC2FA0"/>
    <w:rsid w:val="40E19C15"/>
    <w:rsid w:val="41184760"/>
    <w:rsid w:val="416519E0"/>
    <w:rsid w:val="417EE960"/>
    <w:rsid w:val="42E27B6B"/>
    <w:rsid w:val="434C6D3C"/>
    <w:rsid w:val="437EC2F1"/>
    <w:rsid w:val="43A88BBA"/>
    <w:rsid w:val="43B59117"/>
    <w:rsid w:val="43DAA93C"/>
    <w:rsid w:val="43DCDF23"/>
    <w:rsid w:val="4413B9F2"/>
    <w:rsid w:val="445E4D2E"/>
    <w:rsid w:val="44645F35"/>
    <w:rsid w:val="44E6FF61"/>
    <w:rsid w:val="44E740EE"/>
    <w:rsid w:val="451645BF"/>
    <w:rsid w:val="4598F685"/>
    <w:rsid w:val="459C284A"/>
    <w:rsid w:val="4617D97E"/>
    <w:rsid w:val="462F301D"/>
    <w:rsid w:val="469E8C54"/>
    <w:rsid w:val="471F7F82"/>
    <w:rsid w:val="47546E09"/>
    <w:rsid w:val="47B885E3"/>
    <w:rsid w:val="47D7F91B"/>
    <w:rsid w:val="480E3332"/>
    <w:rsid w:val="4839C92F"/>
    <w:rsid w:val="48AFAB99"/>
    <w:rsid w:val="48EE94AD"/>
    <w:rsid w:val="49035F9D"/>
    <w:rsid w:val="4959548B"/>
    <w:rsid w:val="498FDA92"/>
    <w:rsid w:val="4A6C8363"/>
    <w:rsid w:val="4A742CE8"/>
    <w:rsid w:val="4A84864C"/>
    <w:rsid w:val="4A9A5F61"/>
    <w:rsid w:val="4AA21D9D"/>
    <w:rsid w:val="4B2271F4"/>
    <w:rsid w:val="4B720263"/>
    <w:rsid w:val="4BBB2E52"/>
    <w:rsid w:val="4BC4B28D"/>
    <w:rsid w:val="4BC7D335"/>
    <w:rsid w:val="4C11FDA3"/>
    <w:rsid w:val="4C12A1A0"/>
    <w:rsid w:val="4C3426A6"/>
    <w:rsid w:val="4C86EBC1"/>
    <w:rsid w:val="4CA2BE24"/>
    <w:rsid w:val="4CF0BC83"/>
    <w:rsid w:val="4D35807E"/>
    <w:rsid w:val="4DCCF344"/>
    <w:rsid w:val="4E945BBE"/>
    <w:rsid w:val="4EBF6C45"/>
    <w:rsid w:val="4EC20193"/>
    <w:rsid w:val="4EE5218E"/>
    <w:rsid w:val="4EF0044F"/>
    <w:rsid w:val="4F313E4F"/>
    <w:rsid w:val="4F8FF217"/>
    <w:rsid w:val="4FE833D6"/>
    <w:rsid w:val="50064D51"/>
    <w:rsid w:val="504A82CB"/>
    <w:rsid w:val="50672D62"/>
    <w:rsid w:val="5150FFF7"/>
    <w:rsid w:val="51A2ED59"/>
    <w:rsid w:val="51A83CEE"/>
    <w:rsid w:val="5203F309"/>
    <w:rsid w:val="52475D81"/>
    <w:rsid w:val="524BCC41"/>
    <w:rsid w:val="5283053C"/>
    <w:rsid w:val="52E5D42E"/>
    <w:rsid w:val="5347266B"/>
    <w:rsid w:val="54A07EC3"/>
    <w:rsid w:val="54B4A762"/>
    <w:rsid w:val="54EA3A0A"/>
    <w:rsid w:val="5545A95B"/>
    <w:rsid w:val="557A2F21"/>
    <w:rsid w:val="5594AEEC"/>
    <w:rsid w:val="55B3FB26"/>
    <w:rsid w:val="55FC2653"/>
    <w:rsid w:val="562F9580"/>
    <w:rsid w:val="5668BA7E"/>
    <w:rsid w:val="569FC985"/>
    <w:rsid w:val="56AABB9A"/>
    <w:rsid w:val="578A8424"/>
    <w:rsid w:val="57ED0254"/>
    <w:rsid w:val="582360BC"/>
    <w:rsid w:val="582C5FE7"/>
    <w:rsid w:val="58D7AFE7"/>
    <w:rsid w:val="594278D0"/>
    <w:rsid w:val="59B4D22D"/>
    <w:rsid w:val="59BFC994"/>
    <w:rsid w:val="5A08027C"/>
    <w:rsid w:val="5A5BDF29"/>
    <w:rsid w:val="5A827A2E"/>
    <w:rsid w:val="5A987EAD"/>
    <w:rsid w:val="5AC3FCBF"/>
    <w:rsid w:val="5ACFA2C8"/>
    <w:rsid w:val="5B20F3DB"/>
    <w:rsid w:val="5C675388"/>
    <w:rsid w:val="5CCADC30"/>
    <w:rsid w:val="5D00D6E6"/>
    <w:rsid w:val="5D4F4AF8"/>
    <w:rsid w:val="5DD23B46"/>
    <w:rsid w:val="5E00CF95"/>
    <w:rsid w:val="5E4A55D9"/>
    <w:rsid w:val="5E6D9003"/>
    <w:rsid w:val="5F52E2AF"/>
    <w:rsid w:val="5F8BE143"/>
    <w:rsid w:val="605F6FBB"/>
    <w:rsid w:val="60F177D9"/>
    <w:rsid w:val="6149B3E7"/>
    <w:rsid w:val="614C9303"/>
    <w:rsid w:val="620C2F68"/>
    <w:rsid w:val="6272408B"/>
    <w:rsid w:val="629D1E3A"/>
    <w:rsid w:val="62AAB20F"/>
    <w:rsid w:val="63627BAE"/>
    <w:rsid w:val="63628451"/>
    <w:rsid w:val="63EAE3B2"/>
    <w:rsid w:val="63F66484"/>
    <w:rsid w:val="6486535F"/>
    <w:rsid w:val="65467439"/>
    <w:rsid w:val="6565A314"/>
    <w:rsid w:val="657CBFED"/>
    <w:rsid w:val="65BDC55F"/>
    <w:rsid w:val="660B4A5F"/>
    <w:rsid w:val="6678F722"/>
    <w:rsid w:val="67913524"/>
    <w:rsid w:val="67D1A060"/>
    <w:rsid w:val="6870081E"/>
    <w:rsid w:val="6928D836"/>
    <w:rsid w:val="69878F23"/>
    <w:rsid w:val="6A6041B2"/>
    <w:rsid w:val="6ADD8BCA"/>
    <w:rsid w:val="6B47C4BC"/>
    <w:rsid w:val="6B7FF9CF"/>
    <w:rsid w:val="6BA99F9C"/>
    <w:rsid w:val="6C378C6C"/>
    <w:rsid w:val="6C9548A5"/>
    <w:rsid w:val="6C9D4812"/>
    <w:rsid w:val="6CA06917"/>
    <w:rsid w:val="6CA1D79B"/>
    <w:rsid w:val="6CC759A1"/>
    <w:rsid w:val="6D0A5B79"/>
    <w:rsid w:val="6D49863A"/>
    <w:rsid w:val="6D49DD3B"/>
    <w:rsid w:val="6D6326AD"/>
    <w:rsid w:val="6D8384E3"/>
    <w:rsid w:val="6D9A1695"/>
    <w:rsid w:val="6DB37645"/>
    <w:rsid w:val="6DB7E59A"/>
    <w:rsid w:val="6DC826C6"/>
    <w:rsid w:val="6DE02F21"/>
    <w:rsid w:val="6E1905E1"/>
    <w:rsid w:val="6E612343"/>
    <w:rsid w:val="6E86ED97"/>
    <w:rsid w:val="6EFB37C1"/>
    <w:rsid w:val="6F4603ED"/>
    <w:rsid w:val="6FB29BC3"/>
    <w:rsid w:val="6FBB461E"/>
    <w:rsid w:val="700286C9"/>
    <w:rsid w:val="70109205"/>
    <w:rsid w:val="7074AB61"/>
    <w:rsid w:val="708A73B0"/>
    <w:rsid w:val="70DE4309"/>
    <w:rsid w:val="7111EFBE"/>
    <w:rsid w:val="71A59F24"/>
    <w:rsid w:val="71A99BF8"/>
    <w:rsid w:val="7258DF4D"/>
    <w:rsid w:val="72AF77BE"/>
    <w:rsid w:val="72D2DB23"/>
    <w:rsid w:val="73538891"/>
    <w:rsid w:val="73A656FA"/>
    <w:rsid w:val="73BD6F46"/>
    <w:rsid w:val="740ED445"/>
    <w:rsid w:val="746D2830"/>
    <w:rsid w:val="74754F55"/>
    <w:rsid w:val="74D14ED7"/>
    <w:rsid w:val="74EE31A7"/>
    <w:rsid w:val="754D1143"/>
    <w:rsid w:val="756914EA"/>
    <w:rsid w:val="757207D8"/>
    <w:rsid w:val="757B6C04"/>
    <w:rsid w:val="758682AB"/>
    <w:rsid w:val="76458F71"/>
    <w:rsid w:val="766D47A8"/>
    <w:rsid w:val="76BE41F4"/>
    <w:rsid w:val="7772E305"/>
    <w:rsid w:val="77924977"/>
    <w:rsid w:val="7800C83A"/>
    <w:rsid w:val="781FB4CB"/>
    <w:rsid w:val="7942D7AE"/>
    <w:rsid w:val="7950C41F"/>
    <w:rsid w:val="795748F8"/>
    <w:rsid w:val="79AA3121"/>
    <w:rsid w:val="79B1FBC6"/>
    <w:rsid w:val="79E9973E"/>
    <w:rsid w:val="7A179D68"/>
    <w:rsid w:val="7A855C60"/>
    <w:rsid w:val="7B6FA9DC"/>
    <w:rsid w:val="7B71FEF8"/>
    <w:rsid w:val="7B873C51"/>
    <w:rsid w:val="7BC04B8C"/>
    <w:rsid w:val="7BEB619F"/>
    <w:rsid w:val="7BF5F461"/>
    <w:rsid w:val="7C435B69"/>
    <w:rsid w:val="7C855F2C"/>
    <w:rsid w:val="7C8BD95F"/>
    <w:rsid w:val="7D49CE9F"/>
    <w:rsid w:val="7DA26A48"/>
    <w:rsid w:val="7DF867FA"/>
    <w:rsid w:val="7E7B6AFB"/>
    <w:rsid w:val="7E8B29B7"/>
    <w:rsid w:val="7F15A6AF"/>
    <w:rsid w:val="7F1A14FC"/>
    <w:rsid w:val="7F8985A7"/>
    <w:rsid w:val="7FACDB3A"/>
    <w:rsid w:val="7FBE21E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032FB"/>
  <w15:chartTrackingRefBased/>
  <w15:docId w15:val="{0A14FCBF-2199-424B-8140-8C43115E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84B"/>
    <w:pPr>
      <w:spacing w:before="120" w:after="0" w:line="360" w:lineRule="auto"/>
      <w:jc w:val="both"/>
    </w:pPr>
    <w:rPr>
      <w:rFonts w:ascii="Times New Roman" w:hAnsi="Times New Roman" w:cs="Times New Roman"/>
      <w:sz w:val="24"/>
      <w:szCs w:val="24"/>
    </w:rPr>
  </w:style>
  <w:style w:type="paragraph" w:styleId="Heading1">
    <w:name w:val="heading 1"/>
    <w:basedOn w:val="Normal"/>
    <w:next w:val="Normal"/>
    <w:link w:val="Heading1Char"/>
    <w:uiPriority w:val="9"/>
    <w:qFormat/>
    <w:rsid w:val="00C1584B"/>
    <w:pPr>
      <w:keepNext/>
      <w:keepLines/>
      <w:numPr>
        <w:numId w:val="38"/>
      </w:numPr>
      <w:spacing w:before="240"/>
      <w:jc w:val="center"/>
      <w:outlineLvl w:val="0"/>
    </w:pPr>
    <w:rPr>
      <w:rFonts w:eastAsiaTheme="majorEastAsia"/>
      <w:b/>
      <w:bCs/>
    </w:rPr>
  </w:style>
  <w:style w:type="paragraph" w:styleId="Heading2">
    <w:name w:val="heading 2"/>
    <w:basedOn w:val="Normal"/>
    <w:next w:val="Normal"/>
    <w:link w:val="Heading2Char"/>
    <w:uiPriority w:val="9"/>
    <w:unhideWhenUsed/>
    <w:qFormat/>
    <w:rsid w:val="001F7699"/>
    <w:pPr>
      <w:keepNext/>
      <w:keepLines/>
      <w:numPr>
        <w:numId w:val="39"/>
      </w:numPr>
      <w:spacing w:before="40"/>
      <w:ind w:hanging="720"/>
      <w:outlineLvl w:val="1"/>
    </w:pPr>
    <w:rPr>
      <w:rFonts w:eastAsiaTheme="majorEastAs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B"/>
    <w:pPr>
      <w:ind w:left="720"/>
      <w:contextualSpacing/>
    </w:pPr>
  </w:style>
  <w:style w:type="paragraph" w:styleId="FootnoteText">
    <w:name w:val="footnote text"/>
    <w:basedOn w:val="Normal"/>
    <w:link w:val="FootnoteTextChar"/>
    <w:uiPriority w:val="99"/>
    <w:unhideWhenUsed/>
    <w:rsid w:val="00DC1C21"/>
    <w:pPr>
      <w:spacing w:line="240" w:lineRule="auto"/>
    </w:pPr>
    <w:rPr>
      <w:sz w:val="20"/>
      <w:szCs w:val="20"/>
    </w:rPr>
  </w:style>
  <w:style w:type="character" w:customStyle="1" w:styleId="FootnoteTextChar">
    <w:name w:val="Footnote Text Char"/>
    <w:basedOn w:val="DefaultParagraphFont"/>
    <w:link w:val="FootnoteText"/>
    <w:uiPriority w:val="99"/>
    <w:rsid w:val="00DC1C21"/>
    <w:rPr>
      <w:sz w:val="20"/>
      <w:szCs w:val="20"/>
    </w:rPr>
  </w:style>
  <w:style w:type="character" w:styleId="FootnoteReference">
    <w:name w:val="footnote reference"/>
    <w:basedOn w:val="DefaultParagraphFont"/>
    <w:uiPriority w:val="99"/>
    <w:semiHidden/>
    <w:unhideWhenUsed/>
    <w:rsid w:val="00DC1C21"/>
    <w:rPr>
      <w:vertAlign w:val="superscript"/>
    </w:rPr>
  </w:style>
  <w:style w:type="paragraph" w:styleId="Header">
    <w:name w:val="header"/>
    <w:basedOn w:val="Normal"/>
    <w:link w:val="HeaderChar"/>
    <w:uiPriority w:val="99"/>
    <w:unhideWhenUsed/>
    <w:rsid w:val="00AC1844"/>
    <w:pPr>
      <w:tabs>
        <w:tab w:val="center" w:pos="4680"/>
        <w:tab w:val="right" w:pos="9360"/>
      </w:tabs>
      <w:spacing w:line="240" w:lineRule="auto"/>
    </w:pPr>
  </w:style>
  <w:style w:type="character" w:customStyle="1" w:styleId="HeaderChar">
    <w:name w:val="Header Char"/>
    <w:basedOn w:val="DefaultParagraphFont"/>
    <w:link w:val="Header"/>
    <w:uiPriority w:val="99"/>
    <w:rsid w:val="00AC1844"/>
  </w:style>
  <w:style w:type="paragraph" w:styleId="Footer">
    <w:name w:val="footer"/>
    <w:basedOn w:val="Normal"/>
    <w:link w:val="FooterChar"/>
    <w:uiPriority w:val="99"/>
    <w:unhideWhenUsed/>
    <w:rsid w:val="00AC1844"/>
    <w:pPr>
      <w:tabs>
        <w:tab w:val="center" w:pos="4680"/>
        <w:tab w:val="right" w:pos="9360"/>
      </w:tabs>
      <w:spacing w:line="240" w:lineRule="auto"/>
    </w:pPr>
  </w:style>
  <w:style w:type="character" w:customStyle="1" w:styleId="FooterChar">
    <w:name w:val="Footer Char"/>
    <w:basedOn w:val="DefaultParagraphFont"/>
    <w:link w:val="Footer"/>
    <w:uiPriority w:val="99"/>
    <w:rsid w:val="00AC1844"/>
  </w:style>
  <w:style w:type="paragraph" w:styleId="BalloonText">
    <w:name w:val="Balloon Text"/>
    <w:basedOn w:val="Normal"/>
    <w:link w:val="BalloonTextChar"/>
    <w:uiPriority w:val="99"/>
    <w:semiHidden/>
    <w:unhideWhenUsed/>
    <w:rsid w:val="00B04D1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D11"/>
    <w:rPr>
      <w:rFonts w:ascii="Segoe UI" w:hAnsi="Segoe UI" w:cs="Segoe UI"/>
      <w:sz w:val="18"/>
      <w:szCs w:val="18"/>
    </w:rPr>
  </w:style>
  <w:style w:type="character" w:styleId="CommentReference">
    <w:name w:val="annotation reference"/>
    <w:basedOn w:val="DefaultParagraphFont"/>
    <w:uiPriority w:val="99"/>
    <w:semiHidden/>
    <w:unhideWhenUsed/>
    <w:rsid w:val="00B04D11"/>
    <w:rPr>
      <w:sz w:val="16"/>
      <w:szCs w:val="16"/>
    </w:rPr>
  </w:style>
  <w:style w:type="paragraph" w:styleId="CommentText">
    <w:name w:val="annotation text"/>
    <w:basedOn w:val="Normal"/>
    <w:link w:val="CommentTextChar"/>
    <w:uiPriority w:val="99"/>
    <w:unhideWhenUsed/>
    <w:rsid w:val="00B04D11"/>
    <w:pPr>
      <w:spacing w:line="240" w:lineRule="auto"/>
    </w:pPr>
    <w:rPr>
      <w:rFonts w:eastAsia="Times New Roman"/>
      <w:sz w:val="20"/>
      <w:szCs w:val="20"/>
    </w:rPr>
  </w:style>
  <w:style w:type="character" w:customStyle="1" w:styleId="CommentTextChar">
    <w:name w:val="Comment Text Char"/>
    <w:basedOn w:val="DefaultParagraphFont"/>
    <w:link w:val="CommentText"/>
    <w:uiPriority w:val="99"/>
    <w:rsid w:val="00B04D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04D11"/>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B04D11"/>
    <w:rPr>
      <w:rFonts w:ascii="Times New Roman" w:eastAsia="Times New Roman" w:hAnsi="Times New Roman" w:cs="Times New Roman"/>
      <w:b/>
      <w:bCs/>
      <w:sz w:val="20"/>
      <w:szCs w:val="20"/>
    </w:rPr>
  </w:style>
  <w:style w:type="character" w:customStyle="1" w:styleId="OrderingParagraphChar">
    <w:name w:val="Ordering Paragraph Char"/>
    <w:basedOn w:val="DefaultParagraphFont"/>
    <w:link w:val="OrderingParagraph"/>
    <w:uiPriority w:val="2"/>
    <w:locked/>
    <w:rsid w:val="001F7699"/>
    <w:rPr>
      <w:rFonts w:ascii="Times New Roman" w:eastAsia="Times New Roman" w:hAnsi="Times New Roman" w:cs="Times New Roman"/>
      <w:sz w:val="24"/>
      <w:szCs w:val="20"/>
    </w:rPr>
  </w:style>
  <w:style w:type="paragraph" w:customStyle="1" w:styleId="OrderingParagraph">
    <w:name w:val="Ordering Paragraph"/>
    <w:basedOn w:val="Normal"/>
    <w:link w:val="OrderingParagraphChar"/>
    <w:uiPriority w:val="2"/>
    <w:qFormat/>
    <w:rsid w:val="00634DF5"/>
    <w:pPr>
      <w:numPr>
        <w:numId w:val="11"/>
      </w:numPr>
      <w:snapToGrid w:val="0"/>
      <w:ind w:left="1080"/>
    </w:pPr>
    <w:rPr>
      <w:rFonts w:eastAsia="Times New Roman"/>
      <w:szCs w:val="20"/>
    </w:rPr>
  </w:style>
  <w:style w:type="paragraph" w:styleId="Caption">
    <w:name w:val="caption"/>
    <w:basedOn w:val="Normal"/>
    <w:next w:val="Normal"/>
    <w:unhideWhenUsed/>
    <w:qFormat/>
    <w:rsid w:val="00C1584B"/>
    <w:pPr>
      <w:spacing w:before="0" w:after="480" w:line="240" w:lineRule="auto"/>
      <w:jc w:val="center"/>
    </w:pPr>
    <w:rPr>
      <w:rFonts w:ascii="Times New Roman Bold" w:eastAsia="Times New Roman" w:hAnsi="Times New Roman Bold"/>
      <w:b/>
      <w:bCs/>
      <w:caps/>
      <w:szCs w:val="20"/>
    </w:rPr>
  </w:style>
  <w:style w:type="table" w:styleId="TableGrid">
    <w:name w:val="Table Grid"/>
    <w:basedOn w:val="TableNormal"/>
    <w:rsid w:val="00C1584B"/>
    <w:pPr>
      <w:spacing w:after="0" w:line="240" w:lineRule="auto"/>
    </w:pPr>
    <w:rPr>
      <w:rFonts w:ascii="Times New Roman" w:eastAsia="Times New Roman" w:hAnsi="Times New Roman" w:cs="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1584B"/>
    <w:rPr>
      <w:rFonts w:ascii="Times New Roman" w:eastAsiaTheme="majorEastAsia" w:hAnsi="Times New Roman" w:cs="Times New Roman"/>
      <w:b/>
      <w:bCs/>
      <w:sz w:val="24"/>
      <w:szCs w:val="24"/>
    </w:rPr>
  </w:style>
  <w:style w:type="character" w:customStyle="1" w:styleId="Heading2Char">
    <w:name w:val="Heading 2 Char"/>
    <w:basedOn w:val="DefaultParagraphFont"/>
    <w:link w:val="Heading2"/>
    <w:uiPriority w:val="9"/>
    <w:rsid w:val="001F7699"/>
    <w:rPr>
      <w:rFonts w:ascii="Times New Roman" w:eastAsiaTheme="majorEastAsia" w:hAnsi="Times New Roman" w:cs="Times New Roman"/>
      <w:b/>
      <w:bCs/>
      <w:sz w:val="24"/>
      <w:szCs w:val="24"/>
    </w:rPr>
  </w:style>
  <w:style w:type="paragraph" w:styleId="Revision">
    <w:name w:val="Revision"/>
    <w:hidden/>
    <w:uiPriority w:val="99"/>
    <w:semiHidden/>
    <w:rsid w:val="00444790"/>
    <w:pPr>
      <w:spacing w:after="0" w:line="240" w:lineRule="auto"/>
    </w:pPr>
    <w:rPr>
      <w:rFonts w:ascii="Times New Roman" w:hAnsi="Times New Roman" w:cs="Times New Roman"/>
      <w:sz w:val="24"/>
      <w:szCs w:val="24"/>
    </w:rPr>
  </w:style>
  <w:style w:type="character" w:styleId="Mention">
    <w:name w:val="Mention"/>
    <w:basedOn w:val="DefaultParagraphFont"/>
    <w:uiPriority w:val="99"/>
    <w:unhideWhenUsed/>
    <w:rsid w:val="00031EEF"/>
    <w:rPr>
      <w:color w:val="2B579A"/>
      <w:shd w:val="clear" w:color="auto" w:fill="E1DFDD"/>
    </w:rPr>
  </w:style>
  <w:style w:type="character" w:styleId="Hyperlink">
    <w:name w:val="Hyperlink"/>
    <w:basedOn w:val="DefaultParagraphFont"/>
    <w:uiPriority w:val="99"/>
    <w:unhideWhenUsed/>
    <w:rsid w:val="003A34E9"/>
    <w:rPr>
      <w:color w:val="0563C1" w:themeColor="hyperlink"/>
      <w:u w:val="single"/>
    </w:rPr>
  </w:style>
  <w:style w:type="character" w:styleId="UnresolvedMention">
    <w:name w:val="Unresolved Mention"/>
    <w:basedOn w:val="DefaultParagraphFont"/>
    <w:uiPriority w:val="99"/>
    <w:semiHidden/>
    <w:unhideWhenUsed/>
    <w:rsid w:val="003A3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71540">
      <w:bodyDiv w:val="1"/>
      <w:marLeft w:val="0"/>
      <w:marRight w:val="0"/>
      <w:marTop w:val="0"/>
      <w:marBottom w:val="0"/>
      <w:divBdr>
        <w:top w:val="none" w:sz="0" w:space="0" w:color="auto"/>
        <w:left w:val="none" w:sz="0" w:space="0" w:color="auto"/>
        <w:bottom w:val="none" w:sz="0" w:space="0" w:color="auto"/>
        <w:right w:val="none" w:sz="0" w:space="0" w:color="auto"/>
      </w:divBdr>
    </w:div>
    <w:div w:id="995107064">
      <w:bodyDiv w:val="1"/>
      <w:marLeft w:val="0"/>
      <w:marRight w:val="0"/>
      <w:marTop w:val="0"/>
      <w:marBottom w:val="0"/>
      <w:divBdr>
        <w:top w:val="none" w:sz="0" w:space="0" w:color="auto"/>
        <w:left w:val="none" w:sz="0" w:space="0" w:color="auto"/>
        <w:bottom w:val="none" w:sz="0" w:space="0" w:color="auto"/>
        <w:right w:val="none" w:sz="0" w:space="0" w:color="auto"/>
      </w:divBdr>
    </w:div>
    <w:div w:id="189785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2" ma:contentTypeDescription="Create a new document." ma:contentTypeScope="" ma:versionID="fd58e70294cf9172d5424448f9ef1738">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1063a8006be4935afb3ac78c16efde60"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 A c t i v e ! 1 2 7 8 3 9 8 3 1 . 3 < / d o c u m e n t i d >  
     < s e n d e r i d > P L E A H Y < / s e n d e r i d >  
     < s e n d e r e m a i l > P A T R I C K . L E A H Y @ B A K E R B O T T S . C O M < / s e n d e r e m a i l >  
     < l a s t m o d i f i e d > 2 0 2 4 - 1 2 - 3 0 T 1 1 : 3 3 : 0 0 . 0 0 0 0 0 0 0 - 0 6 : 0 0 < / l a s t m o d i f i e d >  
     < d a t a b a s e > A c t i v e < / 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DAA320-9B3F-4890-9B94-16AB58813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E523C-EA89-4044-9D4E-C4F79407D0E4}">
  <ds:schemaRefs>
    <ds:schemaRef ds:uri="http://schemas.microsoft.com/office/2006/metadata/properties"/>
    <ds:schemaRef ds:uri="http://schemas.microsoft.com/office/infopath/2007/PartnerControls"/>
    <ds:schemaRef ds:uri="f83f6d80-b32b-4225-9fa8-d2a9096fb9d8"/>
  </ds:schemaRefs>
</ds:datastoreItem>
</file>

<file path=customXml/itemProps3.xml><?xml version="1.0" encoding="utf-8"?>
<ds:datastoreItem xmlns:ds="http://schemas.openxmlformats.org/officeDocument/2006/customXml" ds:itemID="{7B249BC3-E67C-4617-B021-9538157E37EA}">
  <ds:schemaRefs>
    <ds:schemaRef ds:uri="http://schemas.openxmlformats.org/officeDocument/2006/bibliography"/>
  </ds:schemaRefs>
</ds:datastoreItem>
</file>

<file path=customXml/itemProps4.xml><?xml version="1.0" encoding="utf-8"?>
<ds:datastoreItem xmlns:ds="http://schemas.openxmlformats.org/officeDocument/2006/customXml" ds:itemID="{18A0A3F1-B3EA-4A85-A663-C4C3D042C6CA}">
  <ds:schemaRefs>
    <ds:schemaRef ds:uri="http://www.imanage.com/work/xmlschema"/>
  </ds:schemaRefs>
</ds:datastoreItem>
</file>

<file path=customXml/itemProps5.xml><?xml version="1.0" encoding="utf-8"?>
<ds:datastoreItem xmlns:ds="http://schemas.openxmlformats.org/officeDocument/2006/customXml" ds:itemID="{39454A15-EAB3-4218-8A07-4D712D8FC8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28</Pages>
  <Words>7651</Words>
  <Characters>42770</Characters>
  <Application>Microsoft Office Word</Application>
  <DocSecurity>0</DocSecurity>
  <Lines>750</Lines>
  <Paragraphs>317</Paragraphs>
  <ScaleCrop>false</ScaleCrop>
  <Company/>
  <LinksUpToDate>false</LinksUpToDate>
  <CharactersWithSpaces>50104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Lynch, Brian</cp:lastModifiedBy>
  <cp:revision>247</cp:revision>
  <cp:lastPrinted>2025-01-29T20:55:00Z</cp:lastPrinted>
  <dcterms:created xsi:type="dcterms:W3CDTF">2024-12-30T23:40:00Z</dcterms:created>
  <dcterms:modified xsi:type="dcterms:W3CDTF">2025-01-29T20:55:00Z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y fmtid="{D5CDD505-2E9C-101B-9397-08002B2CF9AE}" pid="3" name="MediaServiceImageTags">
    <vt:lpwstr/>
  </property>
  <property fmtid="{D5CDD505-2E9C-101B-9397-08002B2CF9AE}" pid="4" name="MSIP_Label_e3ac3a1a-de19-428b-b395-6d250d7743fb_Enabled">
    <vt:lpwstr>true</vt:lpwstr>
  </property>
  <property fmtid="{D5CDD505-2E9C-101B-9397-08002B2CF9AE}" pid="5" name="MSIP_Label_e3ac3a1a-de19-428b-b395-6d250d7743fb_SetDate">
    <vt:lpwstr>2024-12-31T15:47:21Z</vt:lpwstr>
  </property>
  <property fmtid="{D5CDD505-2E9C-101B-9397-08002B2CF9AE}" pid="6" name="MSIP_Label_e3ac3a1a-de19-428b-b395-6d250d7743fb_Method">
    <vt:lpwstr>Standard</vt:lpwstr>
  </property>
  <property fmtid="{D5CDD505-2E9C-101B-9397-08002B2CF9AE}" pid="7" name="MSIP_Label_e3ac3a1a-de19-428b-b395-6d250d7743fb_Name">
    <vt:lpwstr>Internal Use Only</vt:lpwstr>
  </property>
  <property fmtid="{D5CDD505-2E9C-101B-9397-08002B2CF9AE}" pid="8" name="MSIP_Label_e3ac3a1a-de19-428b-b395-6d250d7743fb_SiteId">
    <vt:lpwstr>88cc5fd7-fd78-44b6-ad75-b6915088974f</vt:lpwstr>
  </property>
  <property fmtid="{D5CDD505-2E9C-101B-9397-08002B2CF9AE}" pid="9" name="MSIP_Label_e3ac3a1a-de19-428b-b395-6d250d7743fb_ActionId">
    <vt:lpwstr>82d67217-d9fb-4431-8227-90767c80f309</vt:lpwstr>
  </property>
  <property fmtid="{D5CDD505-2E9C-101B-9397-08002B2CF9AE}" pid="10" name="MSIP_Label_e3ac3a1a-de19-428b-b395-6d250d7743fb_ContentBits">
    <vt:lpwstr>0</vt:lpwstr>
  </property>
</Properties>
</file>